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733" w:rsidRDefault="001E0728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eastAsia="宋体"/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WG1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94</w:t>
      </w:r>
      <w:r>
        <w:rPr>
          <w:rFonts w:eastAsia="宋体"/>
          <w:b/>
          <w:sz w:val="22"/>
          <w:szCs w:val="22"/>
          <w:lang w:val="sv-SE" w:eastAsia="zh-CN"/>
        </w:rPr>
        <w:tab/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1808319</w:t>
      </w:r>
    </w:p>
    <w:p w:rsidR="004B2733" w:rsidRDefault="001E0728">
      <w:pPr>
        <w:pStyle w:val="CRCoverPage"/>
        <w:tabs>
          <w:tab w:val="right" w:pos="9270"/>
        </w:tabs>
        <w:spacing w:after="0"/>
        <w:ind w:right="134"/>
        <w:jc w:val="both"/>
        <w:rPr>
          <w:b/>
          <w:sz w:val="22"/>
          <w:szCs w:val="22"/>
          <w:lang w:val="sv-SE"/>
        </w:rPr>
      </w:pPr>
      <w:r>
        <w:rPr>
          <w:rFonts w:eastAsia="宋体" w:hint="eastAsia"/>
          <w:b/>
          <w:sz w:val="22"/>
          <w:szCs w:val="22"/>
          <w:lang w:val="sv-SE" w:eastAsia="ja-JP"/>
        </w:rPr>
        <w:t>Gothenburg, Sweden, August 20</w:t>
      </w:r>
      <w:r>
        <w:rPr>
          <w:rFonts w:eastAsia="宋体" w:hint="eastAsia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eastAsia="宋体" w:hint="eastAsia"/>
          <w:b/>
          <w:sz w:val="22"/>
          <w:szCs w:val="22"/>
          <w:lang w:val="en-US" w:eastAsia="zh-CN"/>
        </w:rPr>
        <w:t>-</w:t>
      </w:r>
      <w:r>
        <w:rPr>
          <w:rFonts w:eastAsia="宋体" w:hint="eastAsia"/>
          <w:b/>
          <w:sz w:val="22"/>
          <w:szCs w:val="22"/>
          <w:lang w:val="sv-SE" w:eastAsia="ja-JP"/>
        </w:rPr>
        <w:t>24</w:t>
      </w:r>
      <w:r>
        <w:rPr>
          <w:rFonts w:eastAsia="宋体" w:hint="eastAsia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eastAsia="宋体" w:hint="eastAsia"/>
          <w:b/>
          <w:sz w:val="22"/>
          <w:szCs w:val="22"/>
          <w:lang w:val="sv-SE" w:eastAsia="ja-JP"/>
        </w:rPr>
        <w:t>,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201</w:t>
      </w:r>
      <w:r>
        <w:rPr>
          <w:rFonts w:eastAsia="宋体" w:hint="eastAsia"/>
          <w:b/>
          <w:sz w:val="22"/>
          <w:szCs w:val="22"/>
          <w:lang w:val="en-US" w:eastAsia="zh-CN"/>
        </w:rPr>
        <w:t>8</w:t>
      </w:r>
    </w:p>
    <w:p w:rsidR="004B2733" w:rsidRDefault="004B2733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2"/>
          <w:szCs w:val="22"/>
          <w:lang w:val="sv-SE" w:eastAsia="zh-CN"/>
        </w:rPr>
      </w:pPr>
    </w:p>
    <w:p w:rsidR="004B2733" w:rsidRDefault="001E0728">
      <w:pPr>
        <w:pStyle w:val="Header"/>
        <w:spacing w:after="100" w:line="260" w:lineRule="auto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 </w:t>
      </w:r>
      <w:r>
        <w:rPr>
          <w:rFonts w:eastAsia="宋体" w:hint="eastAsia"/>
          <w:sz w:val="22"/>
          <w:szCs w:val="22"/>
          <w:lang w:val="en-US" w:eastAsia="zh-CN"/>
        </w:rPr>
        <w:t>Considerations on DL reference signals and channels design for NR-U</w:t>
      </w:r>
    </w:p>
    <w:p w:rsidR="004B2733" w:rsidRDefault="001E0728">
      <w:pPr>
        <w:pStyle w:val="Header"/>
        <w:tabs>
          <w:tab w:val="left" w:pos="1805"/>
        </w:tabs>
        <w:spacing w:after="100" w:line="260" w:lineRule="auto"/>
        <w:ind w:left="1797" w:hanging="1797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ZTE</w:t>
      </w:r>
    </w:p>
    <w:p w:rsidR="004B2733" w:rsidRDefault="001E0728">
      <w:pPr>
        <w:pStyle w:val="Header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2.2.3.1</w:t>
      </w:r>
    </w:p>
    <w:p w:rsidR="004B2733" w:rsidRDefault="001E0728">
      <w:pPr>
        <w:pStyle w:val="Header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4B2733" w:rsidRDefault="001E0728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4B2733" w:rsidRDefault="001E0728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2"/>
      <w:bookmarkStart w:id="2" w:name="OLE_LINK1"/>
      <w:bookmarkStart w:id="3" w:name="OLE_LINK16"/>
      <w:bookmarkStart w:id="4" w:name="OLE_LINK15"/>
      <w:r>
        <w:rPr>
          <w:rFonts w:eastAsia="宋体" w:hint="eastAsia"/>
          <w:lang w:val="en-US" w:eastAsia="zh-CN"/>
        </w:rPr>
        <w:t>The SID on NR-U (</w:t>
      </w:r>
      <w:r>
        <w:rPr>
          <w:rFonts w:eastAsia="宋体" w:hint="eastAsia"/>
          <w:i/>
          <w:iCs/>
          <w:lang w:val="en-US" w:eastAsia="zh-CN"/>
        </w:rPr>
        <w:t>NR-based Access to Unlicensed Spectrum</w:t>
      </w:r>
      <w:r>
        <w:rPr>
          <w:rFonts w:eastAsia="宋体" w:hint="eastAsia"/>
          <w:lang w:val="en-US" w:eastAsia="zh-CN"/>
        </w:rPr>
        <w:t>) [1] aims to identify and evaluate solutions and techniques for next generation wireless systems operating on unlicensed bands. Besides, coexistence methods within NR-based and between NR</w:t>
      </w:r>
      <w:r>
        <w:rPr>
          <w:rFonts w:eastAsia="宋体" w:hint="eastAsia"/>
          <w:lang w:val="en-US" w:eastAsia="zh-CN"/>
        </w:rPr>
        <w:t xml:space="preserve">-based operation in unlicensed and LTE-based LAA and with other incumbent RATs in accordance with regulatory requirements should also be studied. In RAN #80 meeting, the following revision are made to the working band of NR-U in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revised SID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[2]:</w:t>
      </w:r>
    </w:p>
    <w:p w:rsidR="004B2733" w:rsidRDefault="001E0728">
      <w:pPr>
        <w:widowControl w:val="0"/>
        <w:autoSpaceDE w:val="0"/>
        <w:autoSpaceDN w:val="0"/>
        <w:adjustRightInd w:val="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highlight w:val="green"/>
          <w:lang w:val="en-US" w:eastAsia="zh-CN"/>
        </w:rPr>
        <w:t>SID RP</w:t>
      </w:r>
      <w:r>
        <w:rPr>
          <w:rFonts w:eastAsia="宋体" w:hint="eastAsia"/>
          <w:b/>
          <w:highlight w:val="green"/>
          <w:lang w:val="en-US" w:eastAsia="zh-CN"/>
        </w:rPr>
        <w:t>-181339:</w:t>
      </w:r>
    </w:p>
    <w:p w:rsidR="004B2733" w:rsidRDefault="001E0728">
      <w:pPr>
        <w:numPr>
          <w:ilvl w:val="0"/>
          <w:numId w:val="9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Study NR-based operation in unlicensed spectrum (RAN1, RAN2, RAN4) including </w:t>
      </w:r>
    </w:p>
    <w:p w:rsidR="004B2733" w:rsidRDefault="001E0728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Physical channels inheriting the choices of duplex mode, waveform, carrier bandwidth, subcarrier spacing, frame structure, and physical layer design made as part of the </w:t>
      </w:r>
      <w:r>
        <w:rPr>
          <w:bCs/>
          <w:lang w:val="en-US"/>
        </w:rPr>
        <w:t>NR study and avoiding unnecessary divergence with decisions made in the NR WI</w:t>
      </w:r>
    </w:p>
    <w:p w:rsidR="004B2733" w:rsidRDefault="001E0728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Consider unlicensed bands below 7GHz</w:t>
      </w:r>
      <w:r>
        <w:rPr>
          <w:rFonts w:eastAsia="宋体" w:hint="eastAsia"/>
          <w:bCs/>
          <w:lang w:val="en-US" w:eastAsia="zh-CN"/>
        </w:rPr>
        <w:t>(e.g., 5GHz, 6GHz)</w:t>
      </w:r>
    </w:p>
    <w:p w:rsidR="004B2733" w:rsidRDefault="001E0728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Consider similar forward compatibility </w:t>
      </w:r>
      <w:r>
        <w:rPr>
          <w:bCs/>
          <w:lang w:val="en-US" w:eastAsia="zh-CN"/>
        </w:rPr>
        <w:t>principles</w:t>
      </w:r>
      <w:r>
        <w:rPr>
          <w:rFonts w:hint="eastAsia"/>
          <w:bCs/>
          <w:lang w:val="en-US" w:eastAsia="zh-CN"/>
        </w:rPr>
        <w:t xml:space="preserve"> made in the NR WI</w:t>
      </w:r>
      <w:r>
        <w:rPr>
          <w:bCs/>
          <w:lang w:val="en-US"/>
        </w:rPr>
        <w:t xml:space="preserve"> </w:t>
      </w:r>
    </w:p>
    <w:p w:rsidR="004B2733" w:rsidRDefault="001E0728">
      <w:pPr>
        <w:numPr>
          <w:ilvl w:val="1"/>
          <w:numId w:val="10"/>
        </w:numPr>
        <w:spacing w:after="0"/>
        <w:rPr>
          <w:bCs/>
        </w:rPr>
      </w:pPr>
      <w:r>
        <w:rPr>
          <w:bCs/>
        </w:rPr>
        <w:t xml:space="preserve">Initial access, channel access. Scheduling/HARQ, and </w:t>
      </w:r>
      <w:r>
        <w:rPr>
          <w:bCs/>
        </w:rPr>
        <w:t>mobility including connected/inactive/idle mode operation and radio-link monitoring/failure</w:t>
      </w:r>
    </w:p>
    <w:p w:rsidR="004B2733" w:rsidRDefault="001E0728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Coexistence methods within NR-based and between NR-based operation in unlicensed and LTE-based LAA and with other incumbent RATs in accordance with regulatory requi</w:t>
      </w:r>
      <w:r>
        <w:rPr>
          <w:bCs/>
          <w:lang w:val="en-US"/>
        </w:rPr>
        <w:t xml:space="preserve">rements in e.g., 5GHz, 6GHz bands </w:t>
      </w:r>
    </w:p>
    <w:p w:rsidR="004B2733" w:rsidRDefault="001E0728">
      <w:pPr>
        <w:widowControl w:val="0"/>
        <w:numPr>
          <w:ilvl w:val="2"/>
          <w:numId w:val="10"/>
        </w:numPr>
        <w:spacing w:after="0"/>
        <w:rPr>
          <w:rFonts w:eastAsia="宋体"/>
          <w:sz w:val="21"/>
          <w:szCs w:val="21"/>
          <w:lang w:val="en-US" w:eastAsia="zh-CN"/>
        </w:rPr>
      </w:pPr>
      <w:r>
        <w:rPr>
          <w:bCs/>
          <w:lang w:val="en-US"/>
        </w:rPr>
        <w:t xml:space="preserve">Coexistence methods </w:t>
      </w:r>
      <w:r>
        <w:rPr>
          <w:bCs/>
          <w:lang w:val="en-US" w:eastAsia="zh-CN"/>
        </w:rPr>
        <w:t xml:space="preserve">already </w:t>
      </w:r>
      <w:r>
        <w:rPr>
          <w:bCs/>
          <w:lang w:val="en-US"/>
        </w:rPr>
        <w:t>defined for 5GHz band in LTE-based LAA context should be assumed as the baseline for 5GHz operation. Enhancements in 5GHz over these methods should not be precluded. NR-based operation in unlic</w:t>
      </w:r>
      <w:r>
        <w:rPr>
          <w:bCs/>
          <w:lang w:val="en-US"/>
        </w:rPr>
        <w:t xml:space="preserve">ensed spectrum should not impact deployed Wi-Fi services (data, video and voice services) more than an additional Wi-Fi network on the same carrier; </w:t>
      </w:r>
    </w:p>
    <w:p w:rsidR="004B2733" w:rsidRDefault="001E0728">
      <w:pPr>
        <w:spacing w:before="120" w:after="120" w:line="260" w:lineRule="auto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In </w:t>
      </w:r>
      <w:r>
        <w:rPr>
          <w:rFonts w:eastAsia="宋体"/>
          <w:sz w:val="21"/>
          <w:szCs w:val="21"/>
          <w:lang w:val="en-US" w:eastAsia="zh-CN"/>
        </w:rPr>
        <w:t>RAN1 #93</w:t>
      </w:r>
      <w:r>
        <w:rPr>
          <w:rFonts w:eastAsia="宋体" w:hint="eastAsia"/>
          <w:sz w:val="21"/>
          <w:szCs w:val="21"/>
          <w:lang w:val="en-US" w:eastAsia="zh-CN"/>
        </w:rPr>
        <w:t xml:space="preserve"> meeting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[3], the following agreements have been reached for NR-U</w:t>
      </w:r>
      <w:r>
        <w:rPr>
          <w:rFonts w:eastAsia="宋体"/>
          <w:sz w:val="21"/>
          <w:szCs w:val="21"/>
          <w:lang w:val="en-US" w:eastAsia="zh-CN"/>
        </w:rPr>
        <w:t>：</w:t>
      </w:r>
    </w:p>
    <w:p w:rsidR="004B2733" w:rsidRDefault="001E0728">
      <w:pPr>
        <w:spacing w:before="60" w:after="60" w:line="260" w:lineRule="auto"/>
        <w:rPr>
          <w:rFonts w:eastAsia="宋体"/>
          <w:b/>
          <w:bCs/>
          <w:sz w:val="21"/>
          <w:szCs w:val="21"/>
          <w:highlight w:val="green"/>
          <w:u w:val="single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highlight w:val="green"/>
          <w:u w:val="single"/>
          <w:lang w:val="en-US" w:eastAsia="zh-CN"/>
        </w:rPr>
        <w:t>Agreement:</w:t>
      </w:r>
    </w:p>
    <w:p w:rsidR="004B2733" w:rsidRDefault="001E0728">
      <w:pPr>
        <w:widowControl w:val="0"/>
        <w:numPr>
          <w:ilvl w:val="0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 xml:space="preserve">NR-U should have </w:t>
      </w:r>
      <w:r>
        <w:rPr>
          <w:lang w:val="en-US"/>
        </w:rPr>
        <w:t>a signal that contains at least SS/PBCH block burst set transmission</w:t>
      </w:r>
    </w:p>
    <w:p w:rsidR="004B2733" w:rsidRDefault="001E0728">
      <w:pPr>
        <w:numPr>
          <w:ilvl w:val="1"/>
          <w:numId w:val="10"/>
        </w:numPr>
        <w:spacing w:after="0"/>
        <w:rPr>
          <w:sz w:val="21"/>
          <w:szCs w:val="21"/>
        </w:rPr>
      </w:pPr>
      <w:r>
        <w:rPr>
          <w:sz w:val="21"/>
          <w:szCs w:val="21"/>
        </w:rPr>
        <w:t>FFS: Other channels and signals transmitted together as part of the</w:t>
      </w:r>
      <w:r>
        <w:rPr>
          <w:rFonts w:eastAsia="宋体"/>
          <w:bCs/>
          <w:sz w:val="21"/>
          <w:szCs w:val="21"/>
          <w:lang w:val="en-US"/>
        </w:rPr>
        <w:t xml:space="preserve"> signal</w:t>
      </w:r>
    </w:p>
    <w:p w:rsidR="004B2733" w:rsidRDefault="001E0728">
      <w:pPr>
        <w:widowControl w:val="0"/>
        <w:numPr>
          <w:ilvl w:val="0"/>
          <w:numId w:val="11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The design of this signal should consider the following characteristics specific to unlicensed band operation</w:t>
      </w:r>
    </w:p>
    <w:p w:rsidR="004B2733" w:rsidRDefault="001E0728">
      <w:pPr>
        <w:numPr>
          <w:ilvl w:val="1"/>
          <w:numId w:val="10"/>
        </w:numPr>
        <w:spacing w:after="0"/>
        <w:rPr>
          <w:sz w:val="21"/>
          <w:szCs w:val="21"/>
        </w:rPr>
      </w:pPr>
      <w:r>
        <w:rPr>
          <w:sz w:val="21"/>
          <w:szCs w:val="21"/>
        </w:rPr>
        <w:t>Th</w:t>
      </w:r>
      <w:r>
        <w:rPr>
          <w:sz w:val="21"/>
          <w:szCs w:val="21"/>
        </w:rPr>
        <w:t>ere are no gaps within the time span the signal is transmitted at least within a beam</w:t>
      </w:r>
    </w:p>
    <w:p w:rsidR="004B2733" w:rsidRDefault="001E0728">
      <w:pPr>
        <w:numPr>
          <w:ilvl w:val="2"/>
          <w:numId w:val="10"/>
        </w:numPr>
        <w:spacing w:after="0"/>
        <w:rPr>
          <w:sz w:val="21"/>
          <w:szCs w:val="21"/>
        </w:rPr>
      </w:pPr>
      <w:r>
        <w:rPr>
          <w:rFonts w:eastAsia="宋体"/>
          <w:bCs/>
          <w:sz w:val="21"/>
          <w:szCs w:val="21"/>
          <w:lang w:val="en-US"/>
        </w:rPr>
        <w:t>FFS</w:t>
      </w:r>
      <w:r>
        <w:rPr>
          <w:sz w:val="21"/>
          <w:szCs w:val="21"/>
        </w:rPr>
        <w:t>: Whether any gaps are needed for beam switching and, if needed, their duration</w:t>
      </w:r>
    </w:p>
    <w:p w:rsidR="004B2733" w:rsidRDefault="001E0728">
      <w:pPr>
        <w:numPr>
          <w:ilvl w:val="1"/>
          <w:numId w:val="10"/>
        </w:numPr>
        <w:spacing w:after="0"/>
        <w:rPr>
          <w:sz w:val="21"/>
          <w:szCs w:val="21"/>
        </w:rPr>
      </w:pPr>
      <w:r>
        <w:rPr>
          <w:sz w:val="21"/>
          <w:szCs w:val="21"/>
        </w:rPr>
        <w:t>The occupied channel bandwidth is satisfied (although this may not be a requirement)</w:t>
      </w:r>
    </w:p>
    <w:p w:rsidR="004B2733" w:rsidRDefault="001E0728">
      <w:pPr>
        <w:numPr>
          <w:ilvl w:val="1"/>
          <w:numId w:val="10"/>
        </w:numPr>
        <w:spacing w:after="0"/>
        <w:rPr>
          <w:sz w:val="21"/>
          <w:szCs w:val="21"/>
        </w:rPr>
      </w:pPr>
      <w:r>
        <w:rPr>
          <w:sz w:val="21"/>
          <w:szCs w:val="21"/>
        </w:rPr>
        <w:t>Strive to minimize the channel occupancy time of the signal</w:t>
      </w:r>
    </w:p>
    <w:p w:rsidR="004B2733" w:rsidRDefault="001E0728">
      <w:pPr>
        <w:numPr>
          <w:ilvl w:val="1"/>
          <w:numId w:val="10"/>
        </w:numPr>
        <w:spacing w:after="0"/>
        <w:rPr>
          <w:sz w:val="21"/>
          <w:szCs w:val="21"/>
        </w:rPr>
      </w:pPr>
      <w:r>
        <w:rPr>
          <w:sz w:val="21"/>
          <w:szCs w:val="21"/>
        </w:rPr>
        <w:t>Characteristics that may facilitate fast channel access</w:t>
      </w:r>
    </w:p>
    <w:p w:rsidR="004B2733" w:rsidRDefault="001E0728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In this contribution, </w:t>
      </w:r>
      <w:r>
        <w:rPr>
          <w:rFonts w:eastAsia="宋体" w:hint="eastAsia"/>
          <w:sz w:val="21"/>
          <w:szCs w:val="21"/>
          <w:lang w:val="en-US" w:eastAsia="zh-CN"/>
        </w:rPr>
        <w:t>we discuss potential DL reference signals and physical layer channels design for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NR-U in </w:t>
      </w:r>
      <w:r>
        <w:rPr>
          <w:bCs/>
          <w:lang w:val="en-US"/>
        </w:rPr>
        <w:t>below 7 GHz</w:t>
      </w:r>
      <w:r>
        <w:rPr>
          <w:rFonts w:eastAsia="宋体" w:hint="eastAsia"/>
          <w:sz w:val="21"/>
          <w:szCs w:val="21"/>
          <w:lang w:val="en-US" w:eastAsia="zh-CN"/>
        </w:rPr>
        <w:t>, including SS/PBC</w:t>
      </w:r>
      <w:r>
        <w:rPr>
          <w:rFonts w:eastAsia="宋体" w:hint="eastAsia"/>
          <w:sz w:val="21"/>
          <w:szCs w:val="21"/>
          <w:lang w:val="en-US" w:eastAsia="zh-CN"/>
        </w:rPr>
        <w:t xml:space="preserve">H block, CSI-RS, DRS, </w:t>
      </w:r>
      <w:r>
        <w:rPr>
          <w:rFonts w:eastAsia="宋体"/>
          <w:sz w:val="21"/>
          <w:szCs w:val="21"/>
          <w:lang w:val="en-US" w:eastAsia="zh-CN"/>
        </w:rPr>
        <w:t>w</w:t>
      </w:r>
      <w:r>
        <w:rPr>
          <w:rFonts w:eastAsia="宋体" w:hint="eastAsia"/>
          <w:sz w:val="21"/>
          <w:szCs w:val="21"/>
          <w:lang w:val="en-US" w:eastAsia="zh-CN"/>
        </w:rPr>
        <w:t>ake-up-like signal, PDCCH, and PDSCH.</w:t>
      </w:r>
    </w:p>
    <w:p w:rsidR="004B2733" w:rsidRDefault="001E0728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 xml:space="preserve"> DL reference signals and physical channels design</w:t>
      </w:r>
    </w:p>
    <w:p w:rsidR="004B2733" w:rsidRDefault="001E0728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SS/PBCH block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The SS/PBCH block specified in Rel-15 NR licensed band includes PSS, SSS, and PBCH associated with DM-RS, which occupies four OFD</w:t>
      </w:r>
      <w:r>
        <w:rPr>
          <w:rFonts w:eastAsia="宋体" w:hint="eastAsia"/>
          <w:sz w:val="21"/>
          <w:szCs w:val="21"/>
          <w:lang w:val="en-US" w:eastAsia="zh-CN"/>
        </w:rPr>
        <w:t>M symbols in time domain and 240 resource elements in frequency domain, as shown in Figure 1. PSS/SSS can be used for cell search and time/frequency synchronization. PBCH carrying MIB is used to transfer master system information such as SFN, subcarrier sp</w:t>
      </w:r>
      <w:r>
        <w:rPr>
          <w:rFonts w:eastAsia="宋体" w:hint="eastAsia"/>
          <w:sz w:val="21"/>
          <w:szCs w:val="21"/>
          <w:lang w:val="en-US" w:eastAsia="zh-CN"/>
        </w:rPr>
        <w:t>acing for SIB1 and Msg. 2/4, subcarrier offset, PDCCH configuration for SIB1, etc. Besides, SSS can also be used for L3 RRM measurement for mobility, and L1-RSRP measurement for beam management. DM-RS is used for PBCH demodulation and SS/PBCH block index d</w:t>
      </w:r>
      <w:r>
        <w:rPr>
          <w:rFonts w:eastAsia="宋体" w:hint="eastAsia"/>
          <w:sz w:val="21"/>
          <w:szCs w:val="21"/>
          <w:lang w:val="en-US" w:eastAsia="zh-CN"/>
        </w:rPr>
        <w:t>etermination.</w:t>
      </w:r>
    </w:p>
    <w:p w:rsidR="004B2733" w:rsidRDefault="001E0728">
      <w:pPr>
        <w:spacing w:after="60"/>
        <w:jc w:val="center"/>
      </w:pPr>
      <w:r>
        <w:object w:dxaOrig="3658" w:dyaOrig="4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95pt;height:201.45pt" o:ole="">
            <v:imagedata r:id="rId8" o:title=""/>
          </v:shape>
          <o:OLEObject Type="Embed" ProgID="Visio.Drawing.11" ShapeID="_x0000_i1025" DrawAspect="Content" ObjectID="_1595424272" r:id="rId9"/>
        </w:object>
      </w:r>
    </w:p>
    <w:p w:rsidR="004B2733" w:rsidRDefault="001E0728">
      <w:pPr>
        <w:jc w:val="center"/>
        <w:rPr>
          <w:rFonts w:eastAsia="宋体"/>
          <w:b/>
          <w:b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>Figure 1. SS/PBCH block</w:t>
      </w:r>
    </w:p>
    <w:p w:rsidR="004B2733" w:rsidRDefault="001E0728">
      <w:pPr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In Non-standalone or standalone NR-U scenarios, the SS/PBCH block should be supported for synchronization, initial access, measurement and so on. In order to transmit SS/PBCH block in NR-U </w:t>
      </w:r>
      <w:r>
        <w:rPr>
          <w:rFonts w:eastAsia="宋体" w:hint="eastAsia"/>
          <w:sz w:val="21"/>
          <w:szCs w:val="21"/>
          <w:lang w:val="en-US" w:eastAsia="zh-CN"/>
        </w:rPr>
        <w:t>carrier, some regulation requirements and enhancement need to be satisfied in unlicensed carrier. The details are as follows:</w:t>
      </w:r>
    </w:p>
    <w:p w:rsidR="004B2733" w:rsidRDefault="001E0728">
      <w:pPr>
        <w:numPr>
          <w:ilvl w:val="0"/>
          <w:numId w:val="12"/>
        </w:numPr>
        <w:tabs>
          <w:tab w:val="left" w:pos="450"/>
          <w:tab w:val="left" w:pos="720"/>
        </w:tabs>
        <w:jc w:val="both"/>
        <w:rPr>
          <w:rFonts w:eastAsia="宋体"/>
          <w:b/>
          <w:bCs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>SS/PBCH block transmission in time domain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t>According to RAN1#9</w:t>
      </w:r>
      <w:r>
        <w:rPr>
          <w:rFonts w:eastAsia="宋体" w:hint="eastAsia"/>
          <w:lang w:val="en-US" w:eastAsia="zh-CN"/>
        </w:rPr>
        <w:t>3</w:t>
      </w:r>
      <w:r>
        <w:t xml:space="preserve"> agreement, </w:t>
      </w:r>
      <w:r>
        <w:rPr>
          <w:rFonts w:eastAsia="宋体" w:hint="eastAsia"/>
          <w:lang w:val="en-US" w:eastAsia="zh-CN"/>
        </w:rPr>
        <w:t xml:space="preserve">NR-U </w:t>
      </w:r>
      <w:r>
        <w:rPr>
          <w:rFonts w:eastAsia="宋体"/>
          <w:lang w:val="en-US" w:eastAsia="zh-CN"/>
        </w:rPr>
        <w:t>should</w:t>
      </w:r>
      <w:r>
        <w:rPr>
          <w:rFonts w:eastAsia="宋体" w:hint="eastAsia"/>
          <w:lang w:val="en-US" w:eastAsia="zh-CN"/>
        </w:rPr>
        <w:t xml:space="preserve"> have a signal that contains at least </w:t>
      </w:r>
      <w:r>
        <w:rPr>
          <w:rFonts w:eastAsia="宋体" w:hint="eastAsia"/>
          <w:sz w:val="21"/>
          <w:szCs w:val="21"/>
          <w:lang w:val="en-US" w:eastAsia="zh-CN"/>
        </w:rPr>
        <w:t>SS/PBCH</w:t>
      </w:r>
      <w:r>
        <w:rPr>
          <w:rFonts w:eastAsia="宋体" w:hint="eastAsia"/>
          <w:sz w:val="21"/>
          <w:szCs w:val="21"/>
          <w:lang w:val="en-US" w:eastAsia="zh-CN"/>
        </w:rPr>
        <w:t xml:space="preserve"> block burst set transmission. But whether this signal can be transmitted with other channels and signals will be FFS. From the </w:t>
      </w:r>
      <w:r>
        <w:rPr>
          <w:rFonts w:eastAsia="宋体"/>
          <w:sz w:val="21"/>
          <w:szCs w:val="21"/>
          <w:lang w:val="en-US" w:eastAsia="zh-CN"/>
        </w:rPr>
        <w:t>persp</w:t>
      </w:r>
      <w:r>
        <w:rPr>
          <w:rFonts w:eastAsia="宋体" w:hint="eastAsia"/>
          <w:sz w:val="21"/>
          <w:szCs w:val="21"/>
          <w:lang w:val="en-US" w:eastAsia="zh-CN"/>
        </w:rPr>
        <w:t>ective of reducing the number of LBT, it is necessary to maintain the time domain continuity of the signal. Thus, this sign</w:t>
      </w:r>
      <w:r>
        <w:rPr>
          <w:rFonts w:eastAsia="宋体" w:hint="eastAsia"/>
          <w:sz w:val="21"/>
          <w:szCs w:val="21"/>
          <w:lang w:val="en-US" w:eastAsia="zh-CN"/>
        </w:rPr>
        <w:t>al can be sent along with other channels and signals, e.g., RMSI/CORESET. Besides, in standalone scenario, RMSI (</w:t>
      </w:r>
      <w:r>
        <w:rPr>
          <w:rFonts w:eastAsia="宋体"/>
          <w:i/>
          <w:iCs/>
          <w:sz w:val="21"/>
          <w:szCs w:val="21"/>
          <w:lang w:val="en-US" w:eastAsia="zh-CN"/>
        </w:rPr>
        <w:t>Remaining minimum system information</w:t>
      </w:r>
      <w:r>
        <w:rPr>
          <w:rFonts w:eastAsia="宋体" w:hint="eastAsia"/>
          <w:sz w:val="21"/>
          <w:szCs w:val="21"/>
          <w:lang w:val="en-US" w:eastAsia="zh-CN"/>
        </w:rPr>
        <w:t xml:space="preserve">) at least needs to be transmitted together with an SS/PBCH block in unlicensed band. </w:t>
      </w:r>
      <w:r>
        <w:rPr>
          <w:rFonts w:eastAsia="宋体"/>
          <w:sz w:val="21"/>
          <w:szCs w:val="21"/>
          <w:lang w:val="en-US" w:eastAsia="zh-CN"/>
        </w:rPr>
        <w:t>A</w:t>
      </w:r>
      <w:r>
        <w:rPr>
          <w:rFonts w:eastAsia="宋体" w:hint="eastAsia"/>
          <w:sz w:val="21"/>
          <w:szCs w:val="21"/>
          <w:lang w:val="en-US" w:eastAsia="zh-CN"/>
        </w:rPr>
        <w:t xml:space="preserve"> TDM pattern for SS/</w:t>
      </w:r>
      <w:r>
        <w:rPr>
          <w:rFonts w:eastAsia="宋体" w:hint="eastAsia"/>
          <w:sz w:val="21"/>
          <w:szCs w:val="21"/>
          <w:lang w:val="en-US" w:eastAsia="zh-CN"/>
        </w:rPr>
        <w:t>PBCH block and CORESET/RMSI multiplexing</w:t>
      </w:r>
      <w:r>
        <w:rPr>
          <w:rFonts w:eastAsia="宋体"/>
          <w:sz w:val="21"/>
          <w:szCs w:val="21"/>
          <w:lang w:val="en-US" w:eastAsia="zh-CN"/>
        </w:rPr>
        <w:t xml:space="preserve"> supported by NR</w:t>
      </w:r>
      <w:r>
        <w:rPr>
          <w:rFonts w:eastAsia="宋体" w:hint="eastAsia"/>
          <w:sz w:val="21"/>
          <w:szCs w:val="21"/>
          <w:lang w:val="en-US" w:eastAsia="zh-CN"/>
        </w:rPr>
        <w:t xml:space="preserve"> such as pattern 1 </w:t>
      </w:r>
      <w:r>
        <w:rPr>
          <w:rFonts w:eastAsia="宋体"/>
          <w:sz w:val="21"/>
          <w:szCs w:val="21"/>
          <w:lang w:val="en-US" w:eastAsia="zh-CN"/>
        </w:rPr>
        <w:t>i</w:t>
      </w:r>
      <w:r>
        <w:rPr>
          <w:rFonts w:eastAsia="宋体" w:hint="eastAsia"/>
          <w:sz w:val="21"/>
          <w:szCs w:val="21"/>
          <w:lang w:val="en-US" w:eastAsia="zh-CN"/>
        </w:rPr>
        <w:t xml:space="preserve">s shown in Figure 2. Based on this, NR-U </w:t>
      </w:r>
      <w:r>
        <w:rPr>
          <w:rFonts w:eastAsia="宋体"/>
          <w:sz w:val="21"/>
          <w:szCs w:val="21"/>
          <w:lang w:val="en-US" w:eastAsia="zh-CN"/>
        </w:rPr>
        <w:t>should</w:t>
      </w:r>
      <w:r>
        <w:rPr>
          <w:rFonts w:eastAsia="宋体" w:hint="eastAsia"/>
          <w:sz w:val="21"/>
          <w:szCs w:val="21"/>
          <w:lang w:val="en-US" w:eastAsia="zh-CN"/>
        </w:rPr>
        <w:t xml:space="preserve"> support the SS/PBCH block transmission along with CORESET/RMSI. </w:t>
      </w:r>
    </w:p>
    <w:p w:rsidR="004B2733" w:rsidRDefault="001E0728">
      <w:pPr>
        <w:jc w:val="center"/>
      </w:pPr>
      <w:r>
        <w:object w:dxaOrig="2942" w:dyaOrig="3305">
          <v:shape id="_x0000_i1026" type="#_x0000_t75" style="width:147.05pt;height:165.35pt" o:ole="">
            <v:imagedata r:id="rId10" o:title=""/>
          </v:shape>
          <o:OLEObject Type="Embed" ProgID="Visio.Drawing.11" ShapeID="_x0000_i1026" DrawAspect="Content" ObjectID="_1595424273" r:id="rId11"/>
        </w:object>
      </w:r>
    </w:p>
    <w:p w:rsidR="004B2733" w:rsidRDefault="001E0728">
      <w:pPr>
        <w:pStyle w:val="Caption"/>
        <w:spacing w:after="120"/>
        <w:jc w:val="center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Figure </w:t>
      </w:r>
      <w:r>
        <w:rPr>
          <w:rFonts w:hint="eastAsia"/>
          <w:sz w:val="21"/>
          <w:szCs w:val="21"/>
          <w:lang w:val="en-US" w:eastAsia="zh-CN"/>
        </w:rPr>
        <w:t xml:space="preserve">2. </w:t>
      </w:r>
      <w:r>
        <w:rPr>
          <w:sz w:val="21"/>
          <w:szCs w:val="21"/>
          <w:lang w:val="en-US" w:eastAsia="zh-CN"/>
        </w:rPr>
        <w:t>TDM Multiplexing patterns of</w:t>
      </w:r>
      <w:r>
        <w:rPr>
          <w:sz w:val="21"/>
          <w:szCs w:val="21"/>
          <w:lang w:val="en-US" w:eastAsia="zh-CN"/>
        </w:rPr>
        <w:t xml:space="preserve"> SS/PBCH and RMSI transmission</w:t>
      </w:r>
    </w:p>
    <w:p w:rsidR="004B2733" w:rsidRDefault="001E0728">
      <w:pPr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From the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per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spective of reducing the number of LBT and some NR-U dep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l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o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y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ment scenarios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(e.g., SA) requirement, NR-U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should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 support the SS/PBCH block transmission along with CORESET/RMSI in the time domain.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During </w:t>
      </w:r>
      <w:r>
        <w:rPr>
          <w:rFonts w:eastAsia="宋体" w:hint="eastAsia"/>
          <w:sz w:val="21"/>
          <w:szCs w:val="21"/>
          <w:lang w:val="en-US" w:eastAsia="zh-CN"/>
        </w:rPr>
        <w:t xml:space="preserve">a half frame window, all candidate SS/PBCH blocks in Case A and Case C </w:t>
      </w:r>
      <w:r>
        <w:rPr>
          <w:rFonts w:eastAsia="宋体"/>
          <w:sz w:val="21"/>
          <w:szCs w:val="21"/>
          <w:lang w:val="en-US" w:eastAsia="zh-CN"/>
        </w:rPr>
        <w:t xml:space="preserve">as </w:t>
      </w:r>
      <w:r>
        <w:rPr>
          <w:rFonts w:eastAsia="宋体" w:hint="eastAsia"/>
          <w:sz w:val="21"/>
          <w:szCs w:val="21"/>
          <w:lang w:val="en-US" w:eastAsia="zh-CN"/>
        </w:rPr>
        <w:t xml:space="preserve">specified </w:t>
      </w:r>
      <w:r>
        <w:rPr>
          <w:rFonts w:eastAsia="宋体"/>
          <w:sz w:val="21"/>
          <w:szCs w:val="21"/>
          <w:lang w:val="en-US" w:eastAsia="zh-CN"/>
        </w:rPr>
        <w:t xml:space="preserve">in TS </w:t>
      </w:r>
      <w:r>
        <w:rPr>
          <w:rFonts w:eastAsia="宋体" w:hint="eastAsia"/>
          <w:sz w:val="21"/>
          <w:szCs w:val="21"/>
          <w:lang w:val="en-US" w:eastAsia="zh-CN"/>
        </w:rPr>
        <w:t>38.213 are discontinuous as shown in Figure 3. There is always a gap between any two candidate SS/PBCH blocks in Case A</w:t>
      </w:r>
      <w:r>
        <w:rPr>
          <w:rFonts w:eastAsia="宋体"/>
          <w:sz w:val="21"/>
          <w:szCs w:val="21"/>
          <w:lang w:val="en-US" w:eastAsia="zh-CN"/>
        </w:rPr>
        <w:t xml:space="preserve"> or </w:t>
      </w:r>
      <w:r>
        <w:rPr>
          <w:rFonts w:eastAsia="宋体" w:hint="eastAsia"/>
          <w:sz w:val="21"/>
          <w:szCs w:val="21"/>
          <w:lang w:val="en-US" w:eastAsia="zh-CN"/>
        </w:rPr>
        <w:t>C. But for Case B in FR1, not all SS/PBCH b</w:t>
      </w:r>
      <w:r>
        <w:rPr>
          <w:rFonts w:eastAsia="宋体" w:hint="eastAsia"/>
          <w:sz w:val="21"/>
          <w:szCs w:val="21"/>
          <w:lang w:val="en-US" w:eastAsia="zh-CN"/>
        </w:rPr>
        <w:t xml:space="preserve">locks have gaps between them in time domain. For multiple SS/PBCH blocks transmission with one beam, there are no gaps </w:t>
      </w:r>
      <w:r>
        <w:rPr>
          <w:sz w:val="21"/>
          <w:szCs w:val="21"/>
        </w:rPr>
        <w:t xml:space="preserve">within the time span the signal </w:t>
      </w:r>
      <w:r>
        <w:rPr>
          <w:rFonts w:eastAsia="宋体" w:hint="eastAsia"/>
          <w:sz w:val="21"/>
          <w:szCs w:val="21"/>
          <w:lang w:val="en-US" w:eastAsia="zh-CN"/>
        </w:rPr>
        <w:t>(e.g., SS/PBCH blocks)</w:t>
      </w:r>
      <w:r>
        <w:rPr>
          <w:sz w:val="21"/>
          <w:szCs w:val="21"/>
        </w:rPr>
        <w:t xml:space="preserve"> is transmitted at least within a beam</w:t>
      </w:r>
      <w:r>
        <w:rPr>
          <w:rFonts w:eastAsia="宋体" w:hint="eastAsia"/>
          <w:sz w:val="21"/>
          <w:szCs w:val="21"/>
          <w:lang w:val="en-US" w:eastAsia="zh-CN"/>
        </w:rPr>
        <w:t xml:space="preserve"> which have been agreed in RAN1 #93. For this</w:t>
      </w:r>
      <w:r>
        <w:rPr>
          <w:rFonts w:eastAsia="宋体" w:hint="eastAsia"/>
          <w:sz w:val="21"/>
          <w:szCs w:val="21"/>
          <w:lang w:val="en-US" w:eastAsia="zh-CN"/>
        </w:rPr>
        <w:t xml:space="preserve"> case, one LBT can be performed before multiple SS/PBCH blocks are transmitted. </w:t>
      </w:r>
      <w:r>
        <w:rPr>
          <w:rFonts w:eastAsia="宋体"/>
          <w:sz w:val="21"/>
          <w:szCs w:val="21"/>
          <w:lang w:val="en-US" w:eastAsia="zh-CN"/>
        </w:rPr>
        <w:t>W</w:t>
      </w:r>
      <w:r>
        <w:rPr>
          <w:rFonts w:eastAsia="宋体" w:hint="eastAsia"/>
          <w:sz w:val="21"/>
          <w:szCs w:val="21"/>
          <w:lang w:val="en-US" w:eastAsia="zh-CN"/>
        </w:rPr>
        <w:t>hile for multiple SS/PBCH blocks transmission with different beam</w:t>
      </w:r>
      <w:r>
        <w:rPr>
          <w:rFonts w:eastAsia="宋体"/>
          <w:sz w:val="21"/>
          <w:szCs w:val="21"/>
          <w:lang w:val="en-US" w:eastAsia="zh-CN"/>
        </w:rPr>
        <w:t xml:space="preserve">s </w:t>
      </w:r>
      <w:r>
        <w:rPr>
          <w:rFonts w:eastAsia="宋体" w:hint="eastAsia"/>
          <w:sz w:val="21"/>
          <w:szCs w:val="21"/>
          <w:lang w:val="en-US" w:eastAsia="zh-CN"/>
        </w:rPr>
        <w:t>(e.g. one candidate SS/PBCH block for one beam), then the gap should be introduced for each SS/PBCH blocks i</w:t>
      </w:r>
      <w:r>
        <w:rPr>
          <w:rFonts w:eastAsia="宋体" w:hint="eastAsia"/>
          <w:sz w:val="21"/>
          <w:szCs w:val="21"/>
          <w:lang w:val="en-US" w:eastAsia="zh-CN"/>
        </w:rPr>
        <w:t xml:space="preserve">n order to perform LBT operation for beam switch. More details on LBT for SS/PBCH block transmission with beam can </w:t>
      </w:r>
      <w:r>
        <w:rPr>
          <w:rFonts w:eastAsia="宋体"/>
          <w:sz w:val="21"/>
          <w:szCs w:val="21"/>
          <w:lang w:val="en-US" w:eastAsia="zh-CN"/>
        </w:rPr>
        <w:t xml:space="preserve">be </w:t>
      </w:r>
      <w:r>
        <w:rPr>
          <w:rFonts w:eastAsia="宋体" w:hint="eastAsia"/>
          <w:sz w:val="21"/>
          <w:szCs w:val="21"/>
          <w:lang w:val="en-US" w:eastAsia="zh-CN"/>
        </w:rPr>
        <w:t>refer</w:t>
      </w:r>
      <w:r>
        <w:rPr>
          <w:rFonts w:eastAsia="宋体"/>
          <w:sz w:val="21"/>
          <w:szCs w:val="21"/>
          <w:lang w:val="en-US" w:eastAsia="zh-CN"/>
        </w:rPr>
        <w:t>red</w:t>
      </w:r>
      <w:r>
        <w:rPr>
          <w:rFonts w:eastAsia="宋体" w:hint="eastAsia"/>
          <w:sz w:val="21"/>
          <w:szCs w:val="21"/>
          <w:lang w:val="en-US" w:eastAsia="zh-CN"/>
        </w:rPr>
        <w:t xml:space="preserve"> to our </w:t>
      </w:r>
      <w:r>
        <w:rPr>
          <w:rFonts w:eastAsia="宋体"/>
          <w:sz w:val="21"/>
          <w:szCs w:val="21"/>
          <w:lang w:val="en-US" w:eastAsia="zh-CN"/>
        </w:rPr>
        <w:t>companion</w:t>
      </w:r>
      <w:r>
        <w:rPr>
          <w:rFonts w:eastAsia="宋体" w:hint="eastAsia"/>
          <w:sz w:val="21"/>
          <w:szCs w:val="21"/>
          <w:lang w:val="en-US" w:eastAsia="zh-CN"/>
        </w:rPr>
        <w:t xml:space="preserve"> contribution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[4]. Based on the above analysis, at least for Case B, we need to consider design new SS/PBCH block</w:t>
      </w:r>
      <w:r>
        <w:rPr>
          <w:rFonts w:eastAsia="宋体" w:hint="eastAsia"/>
          <w:sz w:val="21"/>
          <w:szCs w:val="21"/>
          <w:lang w:val="en-US" w:eastAsia="zh-CN"/>
        </w:rPr>
        <w:t xml:space="preserve"> mapping patterns in order to introduce a gap between SS/PBCH blocks with different beam.</w:t>
      </w:r>
    </w:p>
    <w:p w:rsidR="004B2733" w:rsidRDefault="001E0728">
      <w:pPr>
        <w:spacing w:after="60"/>
        <w:jc w:val="center"/>
      </w:pPr>
      <w:r>
        <w:object w:dxaOrig="8840" w:dyaOrig="1648">
          <v:shape id="_x0000_i1027" type="#_x0000_t75" style="width:442.1pt;height:82.3pt" o:ole="">
            <v:imagedata r:id="rId12" o:title=""/>
          </v:shape>
          <o:OLEObject Type="Embed" ProgID="Visio.Drawing.11" ShapeID="_x0000_i1027" DrawAspect="Content" ObjectID="_1595424274" r:id="rId13"/>
        </w:object>
      </w:r>
    </w:p>
    <w:p w:rsidR="004B2733" w:rsidRDefault="001E0728">
      <w:pPr>
        <w:pStyle w:val="Caption"/>
        <w:ind w:firstLineChars="700" w:firstLine="1476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Figure 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 xml:space="preserve">SS/PBCH block mapping patterns within 1ms </w:t>
      </w:r>
      <w:r>
        <w:rPr>
          <w:rFonts w:eastAsia="宋体"/>
          <w:sz w:val="21"/>
          <w:szCs w:val="21"/>
          <w:lang w:val="en-US" w:eastAsia="zh-CN"/>
        </w:rPr>
        <w:t>in</w:t>
      </w:r>
      <w:r>
        <w:rPr>
          <w:rFonts w:eastAsia="宋体" w:hint="eastAsia"/>
          <w:sz w:val="21"/>
          <w:szCs w:val="21"/>
          <w:lang w:val="en-US" w:eastAsia="zh-CN"/>
        </w:rPr>
        <w:t xml:space="preserve"> the band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f</w:t>
      </w:r>
      <w:r>
        <w:rPr>
          <w:rFonts w:eastAsia="宋体" w:hint="eastAsia"/>
          <w:sz w:val="21"/>
          <w:szCs w:val="21"/>
          <w:lang w:val="en-US" w:eastAsia="zh-CN"/>
        </w:rPr>
        <w:t xml:space="preserve">&lt;= </w:t>
      </w:r>
      <w:r>
        <w:rPr>
          <w:rFonts w:eastAsia="宋体"/>
          <w:sz w:val="21"/>
          <w:szCs w:val="21"/>
          <w:lang w:val="en-US" w:eastAsia="zh-CN"/>
        </w:rPr>
        <w:t>7</w:t>
      </w:r>
      <w:r>
        <w:rPr>
          <w:rFonts w:eastAsia="宋体" w:hint="eastAsia"/>
          <w:sz w:val="21"/>
          <w:szCs w:val="21"/>
          <w:lang w:val="en-US" w:eastAsia="zh-CN"/>
        </w:rPr>
        <w:t>GHz</w:t>
      </w:r>
    </w:p>
    <w:p w:rsidR="004B2733" w:rsidRDefault="001E0728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the g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aps between SS/PBCH blocks are needed in order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to perform LBT operation for beam switching, when different beams are used for multiple SS/PBCH blocks.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Furthermore, if any two candidate SS/PBCH blocks transmi</w:t>
      </w:r>
      <w:r>
        <w:rPr>
          <w:rFonts w:eastAsia="宋体"/>
          <w:sz w:val="21"/>
          <w:szCs w:val="21"/>
          <w:lang w:val="en-US" w:eastAsia="zh-CN"/>
        </w:rPr>
        <w:t>t</w:t>
      </w:r>
      <w:r>
        <w:rPr>
          <w:rFonts w:eastAsia="宋体" w:hint="eastAsia"/>
          <w:sz w:val="21"/>
          <w:szCs w:val="21"/>
          <w:lang w:val="en-US" w:eastAsia="zh-CN"/>
        </w:rPr>
        <w:t xml:space="preserve"> without gap for multi-beam direction, gNB has no time to perform LBT operation for </w:t>
      </w:r>
      <w:r>
        <w:rPr>
          <w:sz w:val="21"/>
          <w:szCs w:val="21"/>
        </w:rPr>
        <w:t>beam switch</w:t>
      </w:r>
      <w:r>
        <w:rPr>
          <w:rFonts w:eastAsia="宋体" w:hint="eastAsia"/>
          <w:sz w:val="21"/>
          <w:szCs w:val="21"/>
          <w:lang w:val="en-US" w:eastAsia="zh-CN"/>
        </w:rPr>
        <w:t>ing</w:t>
      </w:r>
      <w:bookmarkStart w:id="5" w:name="_GoBack"/>
      <w:bookmarkEnd w:id="5"/>
      <w:r>
        <w:rPr>
          <w:rFonts w:eastAsia="宋体" w:hint="eastAsia"/>
          <w:sz w:val="21"/>
          <w:szCs w:val="21"/>
          <w:lang w:val="en-US" w:eastAsia="zh-CN"/>
        </w:rPr>
        <w:t xml:space="preserve">, which will largely degrade SS/PBCH block transmission opportunity in a specific beam direction. </w:t>
      </w:r>
      <w:r>
        <w:rPr>
          <w:rFonts w:eastAsia="宋体"/>
          <w:sz w:val="21"/>
          <w:szCs w:val="21"/>
          <w:lang w:val="en-US" w:eastAsia="zh-CN"/>
        </w:rPr>
        <w:t>Some enhancement</w:t>
      </w:r>
      <w:r>
        <w:rPr>
          <w:rFonts w:eastAsia="宋体" w:hint="eastAsia"/>
          <w:sz w:val="21"/>
          <w:szCs w:val="21"/>
          <w:lang w:val="en-US" w:eastAsia="zh-CN"/>
        </w:rPr>
        <w:t xml:space="preserve"> to improve the transmission opportunity of SS/PBCH block should be considered, e.g. </w:t>
      </w:r>
      <w:r>
        <w:rPr>
          <w:rFonts w:eastAsia="宋体"/>
          <w:sz w:val="21"/>
          <w:szCs w:val="21"/>
          <w:lang w:val="en-US" w:eastAsia="zh-CN"/>
        </w:rPr>
        <w:t xml:space="preserve">to </w:t>
      </w:r>
      <w:r>
        <w:rPr>
          <w:rFonts w:eastAsia="宋体" w:hint="eastAsia"/>
          <w:sz w:val="21"/>
          <w:szCs w:val="21"/>
          <w:lang w:val="en-US" w:eastAsia="zh-CN"/>
        </w:rPr>
        <w:t>in</w:t>
      </w:r>
      <w:r>
        <w:rPr>
          <w:rFonts w:eastAsia="宋体"/>
          <w:sz w:val="21"/>
          <w:szCs w:val="21"/>
          <w:lang w:val="en-US" w:eastAsia="zh-CN"/>
        </w:rPr>
        <w:t>troduce</w:t>
      </w:r>
      <w:r>
        <w:rPr>
          <w:rFonts w:eastAsia="宋体" w:hint="eastAsia"/>
          <w:sz w:val="21"/>
          <w:szCs w:val="21"/>
          <w:lang w:val="en-US" w:eastAsia="zh-CN"/>
        </w:rPr>
        <w:t xml:space="preserve"> new candidate SS/PBCH blocks at the blank</w:t>
      </w:r>
      <w:r>
        <w:rPr>
          <w:rFonts w:eastAsia="宋体" w:hint="eastAsia"/>
          <w:sz w:val="21"/>
          <w:szCs w:val="21"/>
          <w:lang w:val="en-US" w:eastAsia="zh-CN"/>
        </w:rPr>
        <w:t xml:space="preserve"> time domain in the half frame window, </w:t>
      </w:r>
      <w:r>
        <w:rPr>
          <w:rFonts w:eastAsia="宋体"/>
          <w:sz w:val="21"/>
          <w:szCs w:val="21"/>
          <w:lang w:val="en-US" w:eastAsia="zh-CN"/>
        </w:rPr>
        <w:t xml:space="preserve">to </w:t>
      </w:r>
      <w:r>
        <w:rPr>
          <w:rFonts w:eastAsia="宋体" w:hint="eastAsia"/>
          <w:sz w:val="21"/>
          <w:szCs w:val="21"/>
          <w:lang w:val="en-US" w:eastAsia="zh-CN"/>
        </w:rPr>
        <w:t>set a</w:t>
      </w:r>
      <w:r>
        <w:rPr>
          <w:rFonts w:eastAsia="宋体"/>
          <w:sz w:val="21"/>
          <w:szCs w:val="21"/>
          <w:lang w:val="en-US" w:eastAsia="zh-CN"/>
        </w:rPr>
        <w:t>n</w:t>
      </w:r>
      <w:r>
        <w:rPr>
          <w:rFonts w:eastAsia="宋体" w:hint="eastAsia"/>
          <w:sz w:val="21"/>
          <w:szCs w:val="21"/>
          <w:lang w:val="en-US" w:eastAsia="zh-CN"/>
        </w:rPr>
        <w:t xml:space="preserve"> appropriate SS/PBCH block burst set periodicity, or </w:t>
      </w:r>
      <w:r>
        <w:rPr>
          <w:rFonts w:eastAsia="宋体"/>
          <w:sz w:val="21"/>
          <w:szCs w:val="21"/>
          <w:lang w:val="en-US" w:eastAsia="zh-CN"/>
        </w:rPr>
        <w:t xml:space="preserve">to </w:t>
      </w:r>
      <w:r>
        <w:rPr>
          <w:rFonts w:eastAsia="宋体" w:hint="eastAsia"/>
          <w:sz w:val="21"/>
          <w:szCs w:val="21"/>
          <w:lang w:val="en-US" w:eastAsia="zh-CN"/>
        </w:rPr>
        <w:t>configur</w:t>
      </w:r>
      <w:r>
        <w:rPr>
          <w:rFonts w:eastAsia="宋体"/>
          <w:sz w:val="21"/>
          <w:szCs w:val="21"/>
          <w:lang w:val="en-US" w:eastAsia="zh-CN"/>
        </w:rPr>
        <w:t>e</w:t>
      </w:r>
      <w:r>
        <w:rPr>
          <w:rFonts w:eastAsia="宋体" w:hint="eastAsia"/>
          <w:sz w:val="21"/>
          <w:szCs w:val="21"/>
          <w:lang w:val="en-US" w:eastAsia="zh-CN"/>
        </w:rPr>
        <w:t xml:space="preserve"> double periodicities for SS/PBCH block burst set, including long and short periodicity. 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lastRenderedPageBreak/>
        <w:t xml:space="preserve">As shown in Figure 4, long and short periodicity are </w:t>
      </w:r>
      <w:r>
        <w:rPr>
          <w:rFonts w:eastAsia="宋体" w:hint="eastAsia"/>
          <w:sz w:val="21"/>
          <w:szCs w:val="21"/>
          <w:lang w:val="en-US" w:eastAsia="zh-CN"/>
        </w:rPr>
        <w:t>respectively configured as 80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ms and 20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ms. The SS/PBCH block burst set over short periodicity are used to increase SS/PBCH block transmission opportunities when the SS/PBCH block at long periodicity occasion fails. If SS/PBCH block at long periodicity occ</w:t>
      </w:r>
      <w:r>
        <w:rPr>
          <w:rFonts w:eastAsia="宋体" w:hint="eastAsia"/>
          <w:sz w:val="21"/>
          <w:szCs w:val="21"/>
          <w:lang w:val="en-US" w:eastAsia="zh-CN"/>
        </w:rPr>
        <w:t xml:space="preserve">asion is successfully transmitted, NR-U gNB can skip the following short periodicity occasions until the next long periodicity occasion. In other words, in a (long) period, there can be multiple </w:t>
      </w:r>
      <w:r>
        <w:rPr>
          <w:rFonts w:eastAsia="宋体"/>
          <w:sz w:val="21"/>
          <w:szCs w:val="21"/>
          <w:lang w:val="en-US" w:eastAsia="zh-CN"/>
        </w:rPr>
        <w:t xml:space="preserve">candidates for </w:t>
      </w:r>
      <w:r>
        <w:rPr>
          <w:rFonts w:eastAsia="宋体" w:hint="eastAsia"/>
          <w:sz w:val="21"/>
          <w:szCs w:val="21"/>
          <w:lang w:val="en-US" w:eastAsia="zh-CN"/>
        </w:rPr>
        <w:t>SS/PBCH block burst sets or multiple half-fram</w:t>
      </w:r>
      <w:r>
        <w:rPr>
          <w:rFonts w:eastAsia="宋体" w:hint="eastAsia"/>
          <w:sz w:val="21"/>
          <w:szCs w:val="21"/>
          <w:lang w:val="en-US" w:eastAsia="zh-CN"/>
        </w:rPr>
        <w:t>e windows. If the SS/PBCH block for one beam is sent successfully in one set or one window during this period, then next candidate SS/PBCH block for transmission will jump to the next (long) period. Furthermore, the method for increasing SS/PBCH block tran</w:t>
      </w:r>
      <w:r>
        <w:rPr>
          <w:rFonts w:eastAsia="宋体" w:hint="eastAsia"/>
          <w:sz w:val="21"/>
          <w:szCs w:val="21"/>
          <w:lang w:val="en-US" w:eastAsia="zh-CN"/>
        </w:rPr>
        <w:t>smission opportunities in a half frame window and the method for increasing SS/PBCH block transmission opportunities in a burst set periodicity can be used in combination.</w:t>
      </w:r>
    </w:p>
    <w:p w:rsidR="004B2733" w:rsidRDefault="001E0728">
      <w:pPr>
        <w:jc w:val="center"/>
        <w:rPr>
          <w:sz w:val="21"/>
        </w:rPr>
      </w:pPr>
      <w:r>
        <w:rPr>
          <w:sz w:val="21"/>
        </w:rPr>
        <w:object w:dxaOrig="8790" w:dyaOrig="2018">
          <v:shape id="_x0000_i1028" type="#_x0000_t75" style="width:439.5pt;height:100.85pt" o:ole="">
            <v:imagedata r:id="rId14" o:title=""/>
            <o:lock v:ext="edit" aspectratio="f"/>
          </v:shape>
          <o:OLEObject Type="Embed" ProgID="Visio.Drawing.11" ShapeID="_x0000_i1028" DrawAspect="Content" ObjectID="_1595424275" r:id="rId15"/>
        </w:object>
      </w:r>
    </w:p>
    <w:p w:rsidR="004B2733" w:rsidRDefault="001E0728">
      <w:pPr>
        <w:pStyle w:val="Caption"/>
        <w:spacing w:after="120"/>
        <w:jc w:val="center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Figure 4. Candidate half-frame windows in a periodicity</w:t>
      </w:r>
    </w:p>
    <w:p w:rsidR="004B2733" w:rsidRDefault="001E0728">
      <w:pPr>
        <w:spacing w:after="6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3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order to increase transmission opportunities, the following options can be considered</w:t>
      </w:r>
      <w:r>
        <w:rPr>
          <w:rFonts w:eastAsia="宋体" w:hint="eastAsia"/>
          <w:sz w:val="21"/>
          <w:szCs w:val="21"/>
          <w:lang w:eastAsia="zh-CN"/>
        </w:rPr>
        <w:t>:</w:t>
      </w:r>
    </w:p>
    <w:p w:rsidR="004B2733" w:rsidRDefault="001E0728">
      <w:pPr>
        <w:numPr>
          <w:ilvl w:val="0"/>
          <w:numId w:val="13"/>
        </w:numPr>
        <w:spacing w:after="60" w:line="260" w:lineRule="auto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>In</w:t>
      </w:r>
      <w:r>
        <w:rPr>
          <w:rFonts w:eastAsia="宋体"/>
          <w:i/>
          <w:iCs/>
          <w:sz w:val="21"/>
          <w:szCs w:val="21"/>
          <w:lang w:val="en-US" w:eastAsia="zh-CN"/>
        </w:rPr>
        <w:t>troduc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e new candidate SS/PBCH blocks at the blank time domain in the half frame window</w:t>
      </w:r>
      <w:r>
        <w:rPr>
          <w:rFonts w:eastAsia="宋体"/>
          <w:i/>
          <w:iCs/>
          <w:sz w:val="21"/>
          <w:szCs w:val="21"/>
          <w:lang w:val="en-US" w:eastAsia="zh-CN"/>
        </w:rPr>
        <w:t>;</w:t>
      </w:r>
    </w:p>
    <w:p w:rsidR="004B2733" w:rsidRDefault="001E0728">
      <w:pPr>
        <w:numPr>
          <w:ilvl w:val="0"/>
          <w:numId w:val="13"/>
        </w:numPr>
        <w:spacing w:after="60" w:line="260" w:lineRule="auto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Multiple candidate SS/PBCH block burst sets or multiple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candidate half-frame windows within a period</w:t>
      </w:r>
      <w:r>
        <w:rPr>
          <w:rFonts w:eastAsia="宋体"/>
          <w:i/>
          <w:iCs/>
          <w:sz w:val="21"/>
          <w:szCs w:val="21"/>
          <w:lang w:val="en-US" w:eastAsia="zh-CN"/>
        </w:rPr>
        <w:t>;</w:t>
      </w:r>
    </w:p>
    <w:p w:rsidR="004B2733" w:rsidRDefault="001E0728">
      <w:pPr>
        <w:numPr>
          <w:ilvl w:val="0"/>
          <w:numId w:val="13"/>
        </w:numPr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>Combination of above options</w:t>
      </w:r>
      <w:r>
        <w:rPr>
          <w:rFonts w:eastAsia="宋体"/>
          <w:i/>
          <w:iCs/>
          <w:sz w:val="21"/>
          <w:szCs w:val="21"/>
          <w:lang w:val="en-US" w:eastAsia="zh-CN"/>
        </w:rPr>
        <w:t>.</w:t>
      </w:r>
    </w:p>
    <w:p w:rsidR="004B2733" w:rsidRDefault="001E0728">
      <w:pPr>
        <w:numPr>
          <w:ilvl w:val="0"/>
          <w:numId w:val="12"/>
        </w:numPr>
        <w:tabs>
          <w:tab w:val="left" w:pos="450"/>
          <w:tab w:val="left" w:pos="720"/>
        </w:tabs>
        <w:jc w:val="both"/>
        <w:rPr>
          <w:b/>
          <w:bCs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>SS/PBCH block transmission in frequency domain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/>
        </w:rPr>
        <w:t xml:space="preserve">According to ETSI regulation </w:t>
      </w:r>
      <w:r>
        <w:rPr>
          <w:rFonts w:eastAsia="宋体" w:hint="eastAsia"/>
          <w:sz w:val="21"/>
          <w:szCs w:val="21"/>
          <w:lang w:val="en-US" w:eastAsia="zh-CN"/>
        </w:rPr>
        <w:t>in</w:t>
      </w:r>
      <w:r>
        <w:rPr>
          <w:rFonts w:eastAsia="宋体"/>
          <w:sz w:val="21"/>
          <w:szCs w:val="21"/>
          <w:lang w:val="en-US"/>
        </w:rPr>
        <w:t xml:space="preserve"> 5 GHz band</w:t>
      </w:r>
      <w:r>
        <w:rPr>
          <w:rFonts w:eastAsia="宋体" w:hint="eastAsia"/>
          <w:sz w:val="21"/>
          <w:szCs w:val="21"/>
          <w:lang w:val="en-US" w:eastAsia="zh-CN"/>
        </w:rPr>
        <w:t xml:space="preserve"> [5]</w:t>
      </w:r>
      <w:r>
        <w:rPr>
          <w:rFonts w:eastAsia="宋体"/>
          <w:sz w:val="21"/>
          <w:szCs w:val="21"/>
          <w:lang w:val="en-US"/>
        </w:rPr>
        <w:t xml:space="preserve">, the </w:t>
      </w:r>
      <w:r>
        <w:rPr>
          <w:rFonts w:eastAsia="宋体"/>
          <w:i/>
          <w:sz w:val="21"/>
          <w:szCs w:val="21"/>
          <w:lang w:val="en-US"/>
        </w:rPr>
        <w:t>Occupied Channel Bandwidth</w:t>
      </w:r>
      <w:r>
        <w:rPr>
          <w:rFonts w:eastAsia="宋体" w:hint="eastAsia"/>
          <w:sz w:val="21"/>
          <w:szCs w:val="21"/>
          <w:lang w:val="en-US" w:eastAsia="zh-CN"/>
        </w:rPr>
        <w:t xml:space="preserve"> (OCB)</w:t>
      </w:r>
      <w:r>
        <w:rPr>
          <w:rFonts w:eastAsia="宋体"/>
          <w:sz w:val="21"/>
          <w:szCs w:val="21"/>
          <w:lang w:val="en-US"/>
        </w:rPr>
        <w:t>, defined to be the bandwidth containing 99% of t</w:t>
      </w:r>
      <w:r>
        <w:rPr>
          <w:rFonts w:eastAsia="宋体"/>
          <w:sz w:val="21"/>
          <w:szCs w:val="21"/>
          <w:lang w:val="en-US"/>
        </w:rPr>
        <w:t xml:space="preserve">he power of the </w:t>
      </w:r>
      <w:r>
        <w:rPr>
          <w:rFonts w:eastAsia="宋体" w:hint="eastAsia"/>
          <w:sz w:val="21"/>
          <w:szCs w:val="21"/>
          <w:lang w:val="en-US" w:eastAsia="zh-CN"/>
        </w:rPr>
        <w:t xml:space="preserve">signal, </w:t>
      </w:r>
      <w:r>
        <w:rPr>
          <w:rFonts w:eastAsia="宋体"/>
          <w:sz w:val="21"/>
          <w:szCs w:val="21"/>
          <w:lang w:val="en-US"/>
        </w:rPr>
        <w:t xml:space="preserve">shall be between 80% and 100% of the </w:t>
      </w:r>
      <w:r>
        <w:rPr>
          <w:rFonts w:eastAsia="宋体"/>
          <w:i/>
          <w:sz w:val="21"/>
          <w:szCs w:val="21"/>
          <w:lang w:val="en-US"/>
        </w:rPr>
        <w:t>Nominal Channel Bandwidth</w:t>
      </w:r>
      <w:r>
        <w:rPr>
          <w:rFonts w:eastAsia="宋体" w:hint="eastAsia"/>
          <w:sz w:val="21"/>
          <w:szCs w:val="21"/>
          <w:lang w:val="en-US" w:eastAsia="zh-CN"/>
        </w:rPr>
        <w:t xml:space="preserve"> (NCB).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The OCBs of an SS/PBCH block with subcarrier spacing 15</w:t>
      </w:r>
      <w:r>
        <w:rPr>
          <w:rFonts w:eastAsia="宋体"/>
          <w:sz w:val="21"/>
          <w:szCs w:val="21"/>
          <w:lang w:val="en-US" w:eastAsia="zh-CN"/>
        </w:rPr>
        <w:t xml:space="preserve"> K</w:t>
      </w:r>
      <w:r>
        <w:rPr>
          <w:rFonts w:eastAsia="宋体" w:hint="eastAsia"/>
          <w:sz w:val="21"/>
          <w:szCs w:val="21"/>
          <w:lang w:val="en-US" w:eastAsia="zh-CN"/>
        </w:rPr>
        <w:t>Hz, 30</w:t>
      </w:r>
      <w:r>
        <w:rPr>
          <w:rFonts w:eastAsia="宋体"/>
          <w:sz w:val="21"/>
          <w:szCs w:val="21"/>
          <w:lang w:val="en-US" w:eastAsia="zh-CN"/>
        </w:rPr>
        <w:t xml:space="preserve"> K</w:t>
      </w:r>
      <w:r>
        <w:rPr>
          <w:rFonts w:eastAsia="宋体" w:hint="eastAsia"/>
          <w:sz w:val="21"/>
          <w:szCs w:val="21"/>
          <w:lang w:val="en-US" w:eastAsia="zh-CN"/>
        </w:rPr>
        <w:t>Hz are equal to 3.6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MHz, 7.2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MHz</w:t>
      </w:r>
      <w:r>
        <w:rPr>
          <w:rFonts w:eastAsia="宋体"/>
          <w:sz w:val="21"/>
          <w:szCs w:val="21"/>
          <w:lang w:val="en-US" w:eastAsia="zh-CN"/>
        </w:rPr>
        <w:t xml:space="preserve"> respectively</w:t>
      </w:r>
      <w:r>
        <w:rPr>
          <w:rFonts w:eastAsia="宋体" w:hint="eastAsia"/>
          <w:sz w:val="21"/>
          <w:szCs w:val="21"/>
          <w:lang w:val="en-US" w:eastAsia="zh-CN"/>
        </w:rPr>
        <w:t>. Take an SS/PBCH block with subcarrier spacing 15</w:t>
      </w:r>
      <w:r>
        <w:rPr>
          <w:rFonts w:eastAsia="宋体"/>
          <w:sz w:val="21"/>
          <w:szCs w:val="21"/>
          <w:lang w:val="en-US" w:eastAsia="zh-CN"/>
        </w:rPr>
        <w:t xml:space="preserve"> K</w:t>
      </w:r>
      <w:r>
        <w:rPr>
          <w:rFonts w:eastAsia="宋体" w:hint="eastAsia"/>
          <w:sz w:val="21"/>
          <w:szCs w:val="21"/>
          <w:lang w:val="en-US" w:eastAsia="zh-CN"/>
        </w:rPr>
        <w:t>Hz in 5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GHz band as an example, it is almost impossible to meet the OCB requirements since system/nominal bandwidth in most cases would be greater than 5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MHz. 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Based on the above discussion, we expect that the problem of the OCB regulation requirements for</w:t>
      </w:r>
      <w:r>
        <w:rPr>
          <w:rFonts w:eastAsia="宋体" w:hint="eastAsia"/>
          <w:sz w:val="21"/>
          <w:szCs w:val="21"/>
          <w:lang w:val="en-US" w:eastAsia="zh-CN"/>
        </w:rPr>
        <w:t xml:space="preserve"> SS/PBCH block should be solved. One possible method is that the SS/PBCH transmission in frequency domain can be multiplexed with some occupancy signal such as SS/PBCH blocks, or CSI-RS. </w:t>
      </w:r>
      <w:r>
        <w:rPr>
          <w:rFonts w:eastAsia="宋体"/>
          <w:sz w:val="21"/>
          <w:szCs w:val="21"/>
          <w:lang w:val="en-US" w:eastAsia="zh-CN"/>
        </w:rPr>
        <w:t>F</w:t>
      </w:r>
      <w:r>
        <w:rPr>
          <w:rFonts w:eastAsia="宋体" w:hint="eastAsia"/>
          <w:sz w:val="21"/>
          <w:szCs w:val="21"/>
          <w:lang w:val="en-US" w:eastAsia="zh-CN"/>
        </w:rPr>
        <w:t>or example, SS/PBCH block can be multiplexed with one or multiple SS</w:t>
      </w:r>
      <w:r>
        <w:rPr>
          <w:rFonts w:eastAsia="宋体" w:hint="eastAsia"/>
          <w:sz w:val="21"/>
          <w:szCs w:val="21"/>
          <w:lang w:val="en-US" w:eastAsia="zh-CN"/>
        </w:rPr>
        <w:t>/PBCH blocks as shown in Figure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5.</w:t>
      </w:r>
    </w:p>
    <w:p w:rsidR="004B2733" w:rsidRDefault="001E0728">
      <w:pPr>
        <w:jc w:val="center"/>
        <w:rPr>
          <w:rStyle w:val="CommentReference"/>
          <w:lang w:val="en-US" w:eastAsia="zh-CN"/>
        </w:rPr>
      </w:pPr>
      <w:r>
        <w:object w:dxaOrig="2653" w:dyaOrig="4207">
          <v:shape id="_x0000_i1029" type="#_x0000_t75" alt="" style="width:132.75pt;height:210.35pt" o:ole="">
            <v:imagedata r:id="rId16" o:title=""/>
          </v:shape>
          <o:OLEObject Type="Embed" ProgID="Visio.Drawing.11" ShapeID="_x0000_i1029" DrawAspect="Content" ObjectID="_1595424276" r:id="rId17"/>
        </w:object>
      </w:r>
    </w:p>
    <w:p w:rsidR="004B2733" w:rsidRDefault="001E0728">
      <w:pPr>
        <w:pStyle w:val="Caption"/>
        <w:spacing w:after="120"/>
        <w:jc w:val="center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Figure </w:t>
      </w:r>
      <w:r>
        <w:rPr>
          <w:rFonts w:hint="eastAsia"/>
          <w:sz w:val="21"/>
          <w:szCs w:val="21"/>
          <w:lang w:val="en-US" w:eastAsia="zh-CN"/>
        </w:rPr>
        <w:t>5. FDM M</w:t>
      </w:r>
      <w:r>
        <w:rPr>
          <w:sz w:val="21"/>
          <w:szCs w:val="21"/>
          <w:lang w:val="en-US" w:eastAsia="zh-CN"/>
        </w:rPr>
        <w:t>ultiplexing</w:t>
      </w:r>
      <w:r>
        <w:rPr>
          <w:rFonts w:hint="eastAsia"/>
          <w:sz w:val="21"/>
          <w:szCs w:val="21"/>
          <w:lang w:val="en-US" w:eastAsia="zh-CN"/>
        </w:rPr>
        <w:t xml:space="preserve"> b</w:t>
      </w:r>
      <w:r>
        <w:rPr>
          <w:sz w:val="21"/>
          <w:szCs w:val="21"/>
          <w:lang w:val="en-US" w:eastAsia="zh-CN"/>
        </w:rPr>
        <w:t>etween SS/PBCH Blocks</w:t>
      </w:r>
    </w:p>
    <w:p w:rsidR="004B2733" w:rsidRDefault="001E0728">
      <w:pPr>
        <w:jc w:val="both"/>
        <w:rPr>
          <w:sz w:val="21"/>
          <w:szCs w:val="21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However, from another point of view of ETSI regulation requirements, the problem of the OCB regulation requirements for SS/PBCH block can </w:t>
      </w:r>
      <w:r>
        <w:rPr>
          <w:rFonts w:eastAsia="宋体" w:hint="eastAsia"/>
          <w:sz w:val="21"/>
          <w:szCs w:val="21"/>
          <w:lang w:val="en-US" w:eastAsia="zh-CN"/>
        </w:rPr>
        <w:t xml:space="preserve">also be ignored, since ETSI </w:t>
      </w:r>
      <w:r>
        <w:rPr>
          <w:rFonts w:eastAsia="宋体"/>
          <w:sz w:val="21"/>
          <w:szCs w:val="21"/>
          <w:lang w:val="en-US" w:eastAsia="zh-CN"/>
        </w:rPr>
        <w:t>EN 301 893V</w:t>
      </w:r>
      <w:r>
        <w:rPr>
          <w:rFonts w:eastAsia="宋体" w:hint="eastAsia"/>
          <w:sz w:val="21"/>
          <w:szCs w:val="21"/>
          <w:lang w:val="en-US" w:eastAsia="zh-CN"/>
        </w:rPr>
        <w:t>2</w:t>
      </w:r>
      <w:r>
        <w:rPr>
          <w:rFonts w:eastAsia="宋体"/>
          <w:sz w:val="21"/>
          <w:szCs w:val="21"/>
          <w:lang w:val="en-US" w:eastAsia="zh-CN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>1</w:t>
      </w:r>
      <w:r>
        <w:rPr>
          <w:rFonts w:eastAsia="宋体"/>
          <w:sz w:val="21"/>
          <w:szCs w:val="21"/>
          <w:lang w:val="en-US" w:eastAsia="zh-CN"/>
        </w:rPr>
        <w:t>.1</w:t>
      </w:r>
      <w:r>
        <w:rPr>
          <w:rFonts w:eastAsia="宋体" w:hint="eastAsia"/>
          <w:sz w:val="21"/>
          <w:szCs w:val="21"/>
          <w:lang w:val="en-US" w:eastAsia="zh-CN"/>
        </w:rPr>
        <w:t xml:space="preserve"> complements the following case under the above rules: during a COT (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channel occupancy time</w:t>
      </w:r>
      <w:r>
        <w:rPr>
          <w:rFonts w:eastAsia="宋体" w:hint="eastAsia"/>
          <w:sz w:val="21"/>
          <w:szCs w:val="21"/>
          <w:lang w:val="en-US" w:eastAsia="zh-CN"/>
        </w:rPr>
        <w:t>), an equipment may operate temporarily with an OCB of less than 80% of its NCB with a minimum of 2 MHz.</w:t>
      </w:r>
    </w:p>
    <w:p w:rsidR="004B2733" w:rsidRDefault="001E0728">
      <w:pPr>
        <w:numPr>
          <w:ilvl w:val="255"/>
          <w:numId w:val="0"/>
        </w:numPr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>Observation 1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To meet OCB regulation requirements, some occupancy signal can be considered to be multiplexed with the SS/PBCH transmission in frequency domain such as SS/PBCH blocks, or CSI-RS.</w:t>
      </w:r>
    </w:p>
    <w:p w:rsidR="004B2733" w:rsidRDefault="001E0728">
      <w:pPr>
        <w:numPr>
          <w:ilvl w:val="0"/>
          <w:numId w:val="12"/>
        </w:numPr>
        <w:tabs>
          <w:tab w:val="left" w:pos="450"/>
          <w:tab w:val="left" w:pos="720"/>
        </w:tabs>
        <w:spacing w:after="240"/>
        <w:jc w:val="both"/>
        <w:rPr>
          <w:b/>
          <w:bCs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>LBT category for SS/PBCH block transmission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Considering the regulatory requi</w:t>
      </w:r>
      <w:r>
        <w:rPr>
          <w:rFonts w:eastAsia="宋体" w:hint="eastAsia"/>
          <w:sz w:val="21"/>
          <w:szCs w:val="21"/>
          <w:lang w:val="en-US" w:eastAsia="zh-CN"/>
        </w:rPr>
        <w:t>rement of unlicensed carrier, LBT operation needs to be performed before SS/PBCH block transmission. If LBT failure</w:t>
      </w:r>
      <w:r>
        <w:rPr>
          <w:rFonts w:eastAsia="宋体"/>
          <w:sz w:val="21"/>
          <w:szCs w:val="21"/>
          <w:lang w:val="en-US" w:eastAsia="zh-CN"/>
        </w:rPr>
        <w:t xml:space="preserve"> occurs</w:t>
      </w:r>
      <w:r>
        <w:rPr>
          <w:rFonts w:eastAsia="宋体" w:hint="eastAsia"/>
          <w:sz w:val="21"/>
          <w:szCs w:val="21"/>
          <w:lang w:val="en-US" w:eastAsia="zh-CN"/>
        </w:rPr>
        <w:t xml:space="preserve">, SS/PBCH block may not </w:t>
      </w:r>
      <w:r>
        <w:rPr>
          <w:rFonts w:eastAsia="宋体"/>
          <w:sz w:val="21"/>
          <w:szCs w:val="21"/>
          <w:lang w:val="en-US" w:eastAsia="zh-CN"/>
        </w:rPr>
        <w:t xml:space="preserve">be </w:t>
      </w:r>
      <w:r>
        <w:rPr>
          <w:rFonts w:eastAsia="宋体" w:hint="eastAsia"/>
          <w:sz w:val="21"/>
          <w:szCs w:val="21"/>
          <w:lang w:val="en-US" w:eastAsia="zh-CN"/>
        </w:rPr>
        <w:t xml:space="preserve">transmitted in time, which will </w:t>
      </w:r>
      <w:r>
        <w:rPr>
          <w:rFonts w:eastAsia="宋体"/>
          <w:sz w:val="21"/>
          <w:szCs w:val="21"/>
          <w:lang w:val="en-US" w:eastAsia="zh-CN"/>
        </w:rPr>
        <w:t>result</w:t>
      </w:r>
      <w:r>
        <w:rPr>
          <w:rFonts w:eastAsia="宋体" w:hint="eastAsia"/>
          <w:sz w:val="21"/>
          <w:szCs w:val="21"/>
          <w:lang w:val="en-US" w:eastAsia="zh-CN"/>
        </w:rPr>
        <w:t xml:space="preserve"> in large delay or failure of initial access for UE, as well as measu</w:t>
      </w:r>
      <w:r>
        <w:rPr>
          <w:rFonts w:eastAsia="宋体" w:hint="eastAsia"/>
          <w:sz w:val="21"/>
          <w:szCs w:val="21"/>
          <w:lang w:val="en-US" w:eastAsia="zh-CN"/>
        </w:rPr>
        <w:t>rement performance degra</w:t>
      </w:r>
      <w:r>
        <w:rPr>
          <w:rFonts w:eastAsia="宋体"/>
          <w:sz w:val="21"/>
          <w:szCs w:val="21"/>
          <w:lang w:val="en-US" w:eastAsia="zh-CN"/>
        </w:rPr>
        <w:t>da</w:t>
      </w:r>
      <w:r>
        <w:rPr>
          <w:rFonts w:eastAsia="宋体" w:hint="eastAsia"/>
          <w:sz w:val="21"/>
          <w:szCs w:val="21"/>
          <w:lang w:val="en-US" w:eastAsia="zh-CN"/>
        </w:rPr>
        <w:t xml:space="preserve">tion. On top of </w:t>
      </w:r>
      <w:r>
        <w:rPr>
          <w:rFonts w:eastAsia="宋体"/>
          <w:sz w:val="21"/>
          <w:szCs w:val="21"/>
          <w:lang w:val="en-US" w:eastAsia="zh-CN"/>
        </w:rPr>
        <w:t>that</w:t>
      </w:r>
      <w:r>
        <w:rPr>
          <w:rFonts w:eastAsia="宋体" w:hint="eastAsia"/>
          <w:sz w:val="21"/>
          <w:szCs w:val="21"/>
          <w:lang w:val="en-US" w:eastAsia="zh-CN"/>
        </w:rPr>
        <w:t xml:space="preserve">, due to </w:t>
      </w:r>
      <w:r>
        <w:rPr>
          <w:rFonts w:eastAsia="宋体"/>
          <w:sz w:val="21"/>
          <w:szCs w:val="21"/>
          <w:lang w:val="en-US" w:eastAsia="zh-CN"/>
        </w:rPr>
        <w:t>the</w:t>
      </w:r>
      <w:r>
        <w:rPr>
          <w:rFonts w:eastAsia="宋体" w:hint="eastAsia"/>
          <w:sz w:val="21"/>
          <w:szCs w:val="21"/>
          <w:lang w:val="en-US" w:eastAsia="zh-CN"/>
        </w:rPr>
        <w:t xml:space="preserve"> duration with four symbols for each SS/PBCH block that is even less than DRS in LAA, it </w:t>
      </w:r>
      <w:r>
        <w:rPr>
          <w:rFonts w:eastAsia="宋体"/>
          <w:sz w:val="21"/>
          <w:szCs w:val="21"/>
          <w:lang w:val="en-US" w:eastAsia="zh-CN"/>
        </w:rPr>
        <w:t>sh</w:t>
      </w:r>
      <w:r>
        <w:rPr>
          <w:rFonts w:eastAsia="宋体" w:hint="eastAsia"/>
          <w:sz w:val="21"/>
          <w:szCs w:val="21"/>
          <w:lang w:val="en-US" w:eastAsia="zh-CN"/>
        </w:rPr>
        <w:t xml:space="preserve">ould access </w:t>
      </w:r>
      <w:r>
        <w:rPr>
          <w:rFonts w:eastAsia="宋体"/>
          <w:sz w:val="21"/>
          <w:szCs w:val="21"/>
          <w:lang w:val="en-US" w:eastAsia="zh-CN"/>
        </w:rPr>
        <w:t xml:space="preserve">the </w:t>
      </w:r>
      <w:r>
        <w:rPr>
          <w:rFonts w:eastAsia="宋体" w:hint="eastAsia"/>
          <w:sz w:val="21"/>
          <w:szCs w:val="21"/>
          <w:lang w:val="en-US" w:eastAsia="zh-CN"/>
        </w:rPr>
        <w:t>channel with high</w:t>
      </w:r>
      <w:r>
        <w:rPr>
          <w:rFonts w:eastAsia="宋体"/>
          <w:sz w:val="21"/>
          <w:szCs w:val="21"/>
          <w:lang w:val="en-US" w:eastAsia="zh-CN"/>
        </w:rPr>
        <w:t>er</w:t>
      </w:r>
      <w:r>
        <w:rPr>
          <w:rFonts w:eastAsia="宋体" w:hint="eastAsia"/>
          <w:sz w:val="21"/>
          <w:szCs w:val="21"/>
          <w:lang w:val="en-US" w:eastAsia="zh-CN"/>
        </w:rPr>
        <w:t xml:space="preserve"> priority, e.g., fast LBT such as Cat 2 LBT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with a fixed/short sensing i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nterval</w:t>
      </w:r>
      <w:r>
        <w:rPr>
          <w:rFonts w:eastAsia="宋体" w:hint="eastAsia"/>
          <w:sz w:val="21"/>
          <w:szCs w:val="21"/>
          <w:lang w:val="en-US" w:eastAsia="zh-CN"/>
        </w:rPr>
        <w:t>.</w:t>
      </w:r>
    </w:p>
    <w:p w:rsidR="004B2733" w:rsidRDefault="001E0728">
      <w:pPr>
        <w:spacing w:after="6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4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SS/P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BCH block </w:t>
      </w:r>
      <w:r>
        <w:rPr>
          <w:rFonts w:eastAsia="宋体"/>
          <w:i/>
          <w:iCs/>
          <w:sz w:val="21"/>
          <w:szCs w:val="21"/>
          <w:lang w:val="en-US" w:eastAsia="zh-CN"/>
        </w:rPr>
        <w:t>sh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ould access an NR-U carrier with high priority, e.g., Cat 2 LBT with a fixed/short sensing interval.</w:t>
      </w:r>
    </w:p>
    <w:p w:rsidR="004B2733" w:rsidRDefault="001E0728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CSI-RS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NR support a CSI-RS with 1, 2 and 4 OFDM symbols and up to 32 antenna ports. </w:t>
      </w:r>
      <w:r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ame as LTE, NR also support </w:t>
      </w:r>
      <w:r>
        <w:rPr>
          <w:rFonts w:eastAsia="宋体" w:hint="eastAsia"/>
          <w:sz w:val="21"/>
          <w:szCs w:val="21"/>
          <w:lang w:val="en-US" w:eastAsia="zh-CN"/>
        </w:rPr>
        <w:t>periodic, aperiodic and semi-persist</w:t>
      </w:r>
      <w:r>
        <w:rPr>
          <w:rFonts w:eastAsia="宋体"/>
          <w:sz w:val="21"/>
          <w:szCs w:val="21"/>
          <w:lang w:val="en-US" w:eastAsia="zh-CN"/>
        </w:rPr>
        <w:t>ent</w:t>
      </w:r>
      <w:r>
        <w:rPr>
          <w:rFonts w:eastAsia="宋体" w:hint="eastAsia"/>
          <w:sz w:val="21"/>
          <w:szCs w:val="21"/>
          <w:lang w:val="en-US" w:eastAsia="zh-CN"/>
        </w:rPr>
        <w:t xml:space="preserve"> CSI-RS transmission. CSI-RS can be used for L3-RRM measurement in connected state for mobility, L1-RSRP measurement for beam management, and CSI measurement for scheduling.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Further, CSI-RS can </w:t>
      </w:r>
      <w:r>
        <w:rPr>
          <w:rFonts w:eastAsia="宋体"/>
          <w:sz w:val="21"/>
          <w:szCs w:val="21"/>
          <w:lang w:val="en-US" w:eastAsia="zh-CN"/>
        </w:rPr>
        <w:t>b</w:t>
      </w:r>
      <w:r>
        <w:rPr>
          <w:rFonts w:eastAsia="宋体" w:hint="eastAsia"/>
          <w:sz w:val="21"/>
          <w:szCs w:val="21"/>
          <w:lang w:val="en-US" w:eastAsia="zh-CN"/>
        </w:rPr>
        <w:t>e sent together with S</w:t>
      </w:r>
      <w:r>
        <w:rPr>
          <w:rFonts w:eastAsia="宋体" w:hint="eastAsia"/>
          <w:sz w:val="21"/>
          <w:szCs w:val="21"/>
          <w:lang w:val="en-US" w:eastAsia="zh-CN"/>
        </w:rPr>
        <w:t>S/PBCH block and/or CORESET/RMSI. No matter whether it is multiplexed with SS/PBCH block and/or CORESET/RMSI in time domain or frequency domain, one LBT process executed before transmission is enough. If applying frequency domain multiplexing, a CSI-RS res</w:t>
      </w:r>
      <w:r>
        <w:rPr>
          <w:rFonts w:eastAsia="宋体" w:hint="eastAsia"/>
          <w:sz w:val="21"/>
          <w:szCs w:val="21"/>
          <w:lang w:val="en-US" w:eastAsia="zh-CN"/>
        </w:rPr>
        <w:t>ource should be configured on RBs outside RBs occupied by SS/PBCH and CORESET in the symbol containing SS/PBCH and CORESET. CSI-RS design in NR licensed band is flexible enough to support above TDM or FDM multiplexing scheme.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lastRenderedPageBreak/>
        <w:t>For NR-U DL, CSI measurement a</w:t>
      </w:r>
      <w:r>
        <w:rPr>
          <w:rFonts w:eastAsia="宋体" w:hint="eastAsia"/>
          <w:sz w:val="21"/>
          <w:szCs w:val="21"/>
          <w:lang w:val="en-US" w:eastAsia="zh-CN"/>
        </w:rPr>
        <w:t>nd report are still necessary. Due to the uncertainty of channel availability for CSI-RS transmission and the measurement result report, the periodic CSI measurement and report may not be always applicable. Furthermore, the interference situation in the me</w:t>
      </w:r>
      <w:r>
        <w:rPr>
          <w:rFonts w:eastAsia="宋体" w:hint="eastAsia"/>
          <w:sz w:val="21"/>
          <w:szCs w:val="21"/>
          <w:lang w:val="en-US" w:eastAsia="zh-CN"/>
        </w:rPr>
        <w:t xml:space="preserve">asured unlicensed spectrum may fluctuate </w:t>
      </w:r>
      <w:r>
        <w:rPr>
          <w:rFonts w:eastAsia="宋体"/>
          <w:sz w:val="21"/>
          <w:szCs w:val="21"/>
          <w:lang w:val="en-US" w:eastAsia="zh-CN"/>
        </w:rPr>
        <w:t>severe</w:t>
      </w:r>
      <w:r>
        <w:rPr>
          <w:rFonts w:eastAsia="宋体" w:hint="eastAsia"/>
          <w:sz w:val="21"/>
          <w:szCs w:val="21"/>
          <w:lang w:val="en-US" w:eastAsia="zh-CN"/>
        </w:rPr>
        <w:t xml:space="preserve">ly and be unpredictable due </w:t>
      </w:r>
      <w:r>
        <w:rPr>
          <w:rFonts w:eastAsia="宋体"/>
          <w:sz w:val="21"/>
          <w:szCs w:val="21"/>
          <w:lang w:val="en-US" w:eastAsia="zh-CN"/>
        </w:rPr>
        <w:t>to the larger</w:t>
      </w:r>
      <w:r>
        <w:rPr>
          <w:rFonts w:eastAsia="宋体" w:hint="eastAsia"/>
          <w:sz w:val="21"/>
          <w:szCs w:val="21"/>
          <w:lang w:val="en-US" w:eastAsia="zh-CN"/>
        </w:rPr>
        <w:t xml:space="preserve"> delay between measurement and report, as well as beam-based transmission. The NR-U CSI-RS design for CSI measurement and report should be considered as well.</w:t>
      </w:r>
    </w:p>
    <w:p w:rsidR="004B2733" w:rsidRDefault="001E0728">
      <w:pPr>
        <w:spacing w:after="60"/>
        <w:jc w:val="both"/>
        <w:rPr>
          <w:rFonts w:eastAsia="宋体"/>
          <w:i/>
          <w:iCs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5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NR-U CSI-RS for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multiple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 functions should be carefully considered.</w:t>
      </w:r>
    </w:p>
    <w:p w:rsidR="004B2733" w:rsidRDefault="001E0728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Wake-up-like signal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In NR</w:t>
      </w:r>
      <w:r>
        <w:rPr>
          <w:rFonts w:eastAsia="宋体"/>
          <w:sz w:val="21"/>
          <w:szCs w:val="21"/>
          <w:lang w:val="en-US" w:eastAsia="zh-CN"/>
        </w:rPr>
        <w:t>,</w:t>
      </w:r>
      <w:r>
        <w:rPr>
          <w:rFonts w:eastAsia="宋体" w:hint="eastAsia"/>
          <w:sz w:val="21"/>
          <w:szCs w:val="21"/>
          <w:lang w:val="en-US" w:eastAsia="zh-CN"/>
        </w:rPr>
        <w:t xml:space="preserve"> a</w:t>
      </w:r>
      <w:r>
        <w:rPr>
          <w:sz w:val="21"/>
          <w:szCs w:val="21"/>
        </w:rPr>
        <w:t xml:space="preserve"> UE determines a PDCCH monitoring occasion from the PDCCH monitoring periodicity, the PDCCH monitoring offset, and the PDCCH monitoring pattern within a slot.</w:t>
      </w:r>
      <w:r>
        <w:rPr>
          <w:rFonts w:eastAsia="宋体" w:hint="eastAsia"/>
          <w:sz w:val="21"/>
          <w:szCs w:val="21"/>
          <w:lang w:val="en-US" w:eastAsia="zh-CN"/>
        </w:rPr>
        <w:t xml:space="preserve"> For NR-U, </w:t>
      </w:r>
      <w:r>
        <w:rPr>
          <w:rFonts w:eastAsia="宋体"/>
          <w:sz w:val="21"/>
          <w:szCs w:val="21"/>
          <w:lang w:val="en-US" w:eastAsia="zh-CN"/>
        </w:rPr>
        <w:t>there’s</w:t>
      </w:r>
      <w:r>
        <w:rPr>
          <w:rFonts w:eastAsia="宋体" w:hint="eastAsia"/>
          <w:sz w:val="21"/>
          <w:szCs w:val="21"/>
          <w:lang w:val="en-US" w:eastAsia="zh-CN"/>
        </w:rPr>
        <w:t xml:space="preserve"> a requirement to improve UE power efficiency. Because it would be challenged wh</w:t>
      </w:r>
      <w:r>
        <w:rPr>
          <w:rFonts w:eastAsia="宋体" w:hint="eastAsia"/>
          <w:sz w:val="21"/>
          <w:szCs w:val="21"/>
          <w:lang w:val="en-US" w:eastAsia="zh-CN"/>
        </w:rPr>
        <w:t xml:space="preserve">en the PDCCH transmission is not transmitted exactly at the configured resources due to LBT in NR-U. Monitoring opportunistic PDCCH transmission will lead to great power waste. Therefore, </w:t>
      </w:r>
      <w:r>
        <w:rPr>
          <w:rFonts w:eastAsia="宋体"/>
          <w:sz w:val="21"/>
          <w:szCs w:val="21"/>
          <w:lang w:val="en-US" w:eastAsia="zh-CN"/>
        </w:rPr>
        <w:t>for</w:t>
      </w:r>
      <w:r>
        <w:rPr>
          <w:rFonts w:eastAsia="宋体" w:hint="eastAsia"/>
          <w:sz w:val="21"/>
          <w:szCs w:val="21"/>
          <w:lang w:val="en-US" w:eastAsia="zh-CN"/>
        </w:rPr>
        <w:t xml:space="preserve"> NR-U carrier, we can place a wake-up-like signal before PDCCH tr</w:t>
      </w:r>
      <w:r>
        <w:rPr>
          <w:rFonts w:eastAsia="宋体" w:hint="eastAsia"/>
          <w:sz w:val="21"/>
          <w:szCs w:val="21"/>
          <w:lang w:val="en-US" w:eastAsia="zh-CN"/>
        </w:rPr>
        <w:t>ansmission for PDCCH monitoring power saving.  In addition, wake-up-like signal can also be used for channel occupancy and carrying some necessary information. In Rel-13 LTE LAA, initial signal had been discussed and reached some agreements/conclusions, wh</w:t>
      </w:r>
      <w:r>
        <w:rPr>
          <w:rFonts w:eastAsia="宋体" w:hint="eastAsia"/>
          <w:sz w:val="21"/>
          <w:szCs w:val="21"/>
          <w:lang w:val="en-US" w:eastAsia="zh-CN"/>
        </w:rPr>
        <w:t xml:space="preserve">ich can be used as a baseline and reference. </w:t>
      </w:r>
      <w:r>
        <w:rPr>
          <w:rFonts w:eastAsia="宋体"/>
          <w:sz w:val="21"/>
          <w:szCs w:val="21"/>
          <w:lang w:val="en-US" w:eastAsia="zh-CN"/>
        </w:rPr>
        <w:t>Furthermore</w:t>
      </w:r>
      <w:r>
        <w:rPr>
          <w:rFonts w:eastAsia="宋体" w:hint="eastAsia"/>
          <w:sz w:val="21"/>
          <w:szCs w:val="21"/>
          <w:lang w:val="en-US" w:eastAsia="zh-CN"/>
        </w:rPr>
        <w:t xml:space="preserve">, for this signal design, PSS/SSS or CSI-RS can be considered </w:t>
      </w:r>
      <w:r>
        <w:rPr>
          <w:rFonts w:eastAsia="宋体"/>
          <w:sz w:val="21"/>
          <w:szCs w:val="21"/>
          <w:lang w:val="en-US" w:eastAsia="zh-CN"/>
        </w:rPr>
        <w:t>as part of</w:t>
      </w:r>
      <w:r>
        <w:rPr>
          <w:rFonts w:eastAsia="宋体" w:hint="eastAsia"/>
          <w:sz w:val="21"/>
          <w:szCs w:val="21"/>
          <w:lang w:val="en-US" w:eastAsia="zh-CN"/>
        </w:rPr>
        <w:t xml:space="preserve"> this signal.</w:t>
      </w:r>
    </w:p>
    <w:p w:rsidR="004B2733" w:rsidRDefault="001E0728">
      <w:pPr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6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 xml:space="preserve">Initial signal in LAA can be used as a baseline and reference for NR-U UE power saving, spatial reuse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and transmission burst acquisition.</w:t>
      </w:r>
    </w:p>
    <w:p w:rsidR="004B2733" w:rsidRDefault="001E0728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PDCCH/PDSCH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As discussed in section 2.</w:t>
      </w:r>
      <w:r>
        <w:rPr>
          <w:rFonts w:eastAsia="宋体"/>
          <w:sz w:val="21"/>
          <w:szCs w:val="21"/>
          <w:lang w:val="en-US" w:eastAsia="zh-CN"/>
        </w:rPr>
        <w:t>3</w:t>
      </w:r>
      <w:r>
        <w:rPr>
          <w:rFonts w:eastAsia="宋体" w:hint="eastAsia"/>
          <w:sz w:val="21"/>
          <w:szCs w:val="21"/>
          <w:lang w:val="en-US" w:eastAsia="zh-CN"/>
        </w:rPr>
        <w:t xml:space="preserve">, periodical monitoring PDCCH transmission </w:t>
      </w:r>
      <w:r>
        <w:rPr>
          <w:rFonts w:eastAsia="宋体"/>
          <w:sz w:val="21"/>
          <w:szCs w:val="21"/>
          <w:lang w:val="en-US" w:eastAsia="zh-CN"/>
        </w:rPr>
        <w:t>on</w:t>
      </w:r>
      <w:r>
        <w:rPr>
          <w:rFonts w:eastAsia="宋体" w:hint="eastAsia"/>
          <w:sz w:val="21"/>
          <w:szCs w:val="21"/>
          <w:lang w:val="en-US" w:eastAsia="zh-CN"/>
        </w:rPr>
        <w:t xml:space="preserve"> UE side would be challenged and power-</w:t>
      </w:r>
      <w:r>
        <w:rPr>
          <w:rFonts w:eastAsia="宋体"/>
          <w:sz w:val="21"/>
          <w:szCs w:val="21"/>
          <w:lang w:val="en-US" w:eastAsia="zh-CN"/>
        </w:rPr>
        <w:t>consum</w:t>
      </w:r>
      <w:r>
        <w:rPr>
          <w:rFonts w:eastAsia="宋体"/>
          <w:lang w:val="en-US" w:eastAsia="zh-CN"/>
        </w:rPr>
        <w:t>ing</w:t>
      </w:r>
      <w:r>
        <w:rPr>
          <w:rFonts w:eastAsia="宋体" w:hint="eastAsia"/>
          <w:sz w:val="21"/>
          <w:szCs w:val="21"/>
          <w:lang w:val="en-US" w:eastAsia="zh-CN"/>
        </w:rPr>
        <w:t xml:space="preserve"> when the PDCCH transmission is opportunistic due to LBT in NR-U. We should consider how to reduce the power consumption of PDCCH monitoring. Transmitting a </w:t>
      </w:r>
      <w:r>
        <w:rPr>
          <w:rFonts w:eastAsia="宋体"/>
          <w:lang w:val="en-US" w:eastAsia="zh-CN"/>
        </w:rPr>
        <w:t>wake-up-like signal</w:t>
      </w:r>
      <w:r>
        <w:rPr>
          <w:rFonts w:eastAsia="宋体" w:hint="eastAsia"/>
          <w:sz w:val="21"/>
          <w:szCs w:val="21"/>
          <w:lang w:val="en-US" w:eastAsia="zh-CN"/>
        </w:rPr>
        <w:t xml:space="preserve"> as a preamble prior to PDCCH transmission can be considered for this </w:t>
      </w:r>
      <w:r>
        <w:rPr>
          <w:rFonts w:eastAsia="宋体"/>
          <w:lang w:val="en-US" w:eastAsia="zh-CN"/>
        </w:rPr>
        <w:t>purpose</w:t>
      </w:r>
      <w:r>
        <w:rPr>
          <w:rFonts w:eastAsia="宋体" w:hint="eastAsia"/>
          <w:sz w:val="21"/>
          <w:szCs w:val="21"/>
          <w:lang w:val="en-US" w:eastAsia="zh-CN"/>
        </w:rPr>
        <w:t>. U</w:t>
      </w:r>
      <w:r>
        <w:rPr>
          <w:rFonts w:eastAsia="宋体" w:hint="eastAsia"/>
          <w:sz w:val="21"/>
          <w:szCs w:val="21"/>
          <w:lang w:val="en-US" w:eastAsia="zh-CN"/>
        </w:rPr>
        <w:t xml:space="preserve">E can be configured with </w:t>
      </w:r>
      <w:r>
        <w:rPr>
          <w:rFonts w:eastAsia="宋体"/>
          <w:lang w:val="en-US" w:eastAsia="zh-CN"/>
        </w:rPr>
        <w:t>wake-up-like signal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monitoring parameters (periodicity, offset and </w:t>
      </w:r>
      <w:r>
        <w:rPr>
          <w:sz w:val="21"/>
          <w:szCs w:val="21"/>
        </w:rPr>
        <w:t>pattern within a slot</w:t>
      </w:r>
      <w:r>
        <w:rPr>
          <w:rFonts w:eastAsia="宋体" w:hint="eastAsia"/>
          <w:sz w:val="21"/>
          <w:szCs w:val="21"/>
          <w:lang w:val="en-US" w:eastAsia="zh-CN"/>
        </w:rPr>
        <w:t>) rather than PDCCH monitoring parameters. Other aspects e.g. Rel-15 PDCCH structure and search space can be reused and no further enhancements</w:t>
      </w:r>
      <w:r>
        <w:rPr>
          <w:rFonts w:eastAsia="宋体" w:hint="eastAsia"/>
          <w:sz w:val="21"/>
          <w:szCs w:val="21"/>
          <w:lang w:val="en-US" w:eastAsia="zh-CN"/>
        </w:rPr>
        <w:t xml:space="preserve"> seems needed.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RAN1 had agreed NR-U supports both PDSCH/PUSCH mapping type-A and type-B. Therefore, the gNB </w:t>
      </w:r>
      <w:r>
        <w:rPr>
          <w:rFonts w:eastAsia="宋体"/>
          <w:sz w:val="21"/>
          <w:szCs w:val="21"/>
          <w:lang w:val="en-US" w:eastAsia="zh-CN"/>
        </w:rPr>
        <w:t>can transmit P</w:t>
      </w:r>
      <w:r>
        <w:rPr>
          <w:rFonts w:eastAsia="宋体" w:hint="eastAsia"/>
          <w:sz w:val="21"/>
          <w:szCs w:val="21"/>
          <w:lang w:val="en-US" w:eastAsia="zh-CN"/>
        </w:rPr>
        <w:t>D</w:t>
      </w:r>
      <w:r>
        <w:rPr>
          <w:rFonts w:eastAsia="宋体"/>
          <w:sz w:val="21"/>
          <w:szCs w:val="21"/>
          <w:lang w:val="en-US" w:eastAsia="zh-CN"/>
        </w:rPr>
        <w:t xml:space="preserve">SCH from the nearest </w:t>
      </w:r>
      <w:r>
        <w:rPr>
          <w:rFonts w:eastAsia="宋体" w:hint="eastAsia"/>
          <w:sz w:val="21"/>
          <w:szCs w:val="21"/>
          <w:lang w:val="en-US" w:eastAsia="zh-CN"/>
        </w:rPr>
        <w:t xml:space="preserve">permitted </w:t>
      </w:r>
      <w:r>
        <w:rPr>
          <w:rFonts w:eastAsia="宋体"/>
          <w:sz w:val="21"/>
          <w:szCs w:val="21"/>
          <w:lang w:val="en-US" w:eastAsia="zh-CN"/>
        </w:rPr>
        <w:t xml:space="preserve">symbol after a successful channel access, then the resource utilization can be improved. </w:t>
      </w:r>
      <w:r>
        <w:rPr>
          <w:rFonts w:eastAsia="宋体" w:hint="eastAsia"/>
          <w:sz w:val="21"/>
          <w:szCs w:val="21"/>
          <w:lang w:val="en-US" w:eastAsia="zh-CN"/>
        </w:rPr>
        <w:t>In order to b</w:t>
      </w:r>
      <w:r>
        <w:rPr>
          <w:rFonts w:eastAsia="宋体" w:hint="eastAsia"/>
          <w:sz w:val="21"/>
          <w:szCs w:val="21"/>
          <w:lang w:val="en-US" w:eastAsia="zh-CN"/>
        </w:rPr>
        <w:t>alance the design complexity, signaling overhead and spectrum efficiency, the current PDSCH mapping type-A and type-B are enough for NR-U and further optimization may be not needed.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7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The design of PDCCH structure </w:t>
      </w:r>
      <w:r>
        <w:rPr>
          <w:rFonts w:eastAsia="宋体"/>
          <w:i/>
          <w:iCs/>
          <w:sz w:val="21"/>
          <w:szCs w:val="21"/>
          <w:lang w:val="en-US" w:eastAsia="zh-CN"/>
        </w:rPr>
        <w:t xml:space="preserve">and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PDSCH mapping type in Rel-15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should be reused in NR-U.</w:t>
      </w:r>
      <w:r>
        <w:rPr>
          <w:rFonts w:eastAsia="宋体"/>
          <w:i/>
          <w:iCs/>
          <w:sz w:val="21"/>
          <w:szCs w:val="21"/>
          <w:lang w:val="en-US" w:eastAsia="zh-CN"/>
        </w:rPr>
        <w:t xml:space="preserve"> No further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enhancements on PDCCH/PDSCH is </w:t>
      </w:r>
      <w:r>
        <w:rPr>
          <w:rFonts w:eastAsia="宋体"/>
          <w:i/>
          <w:iCs/>
          <w:sz w:val="21"/>
          <w:szCs w:val="21"/>
          <w:lang w:val="en-US" w:eastAsia="zh-CN"/>
        </w:rPr>
        <w:t>needed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except for </w:t>
      </w:r>
      <w:r>
        <w:rPr>
          <w:rFonts w:eastAsia="宋体"/>
          <w:i/>
          <w:iCs/>
          <w:sz w:val="21"/>
          <w:szCs w:val="21"/>
          <w:lang w:val="en-US" w:eastAsia="zh-CN"/>
        </w:rPr>
        <w:t>PDCCH monitoring power saving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4B2733" w:rsidRDefault="001E0728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6" w:name="IDX-CHP-8-0992"/>
      <w:bookmarkStart w:id="7" w:name="IDX-CHP-8-0994"/>
      <w:bookmarkStart w:id="8" w:name="IDX-CHP-8-0995"/>
      <w:bookmarkStart w:id="9" w:name="IDX-CHP-8-0996"/>
      <w:bookmarkStart w:id="10" w:name="IDX-CHP-8-0993"/>
      <w:bookmarkEnd w:id="1"/>
      <w:bookmarkEnd w:id="2"/>
      <w:bookmarkEnd w:id="3"/>
      <w:bookmarkEnd w:id="4"/>
      <w:bookmarkEnd w:id="6"/>
      <w:bookmarkEnd w:id="7"/>
      <w:bookmarkEnd w:id="8"/>
      <w:bookmarkEnd w:id="9"/>
      <w:bookmarkEnd w:id="10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4B2733" w:rsidRDefault="001E0728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 xml:space="preserve">discuss some potential solutions and techniques for NR-U DL reference signal design and physical </w:t>
      </w:r>
      <w:r>
        <w:rPr>
          <w:rFonts w:eastAsia="宋体" w:hint="eastAsia"/>
          <w:lang w:val="en-US" w:eastAsia="zh-CN"/>
        </w:rPr>
        <w:t>channel design</w:t>
      </w:r>
      <w:r>
        <w:rPr>
          <w:rFonts w:eastAsia="宋体"/>
          <w:lang w:val="en-US" w:eastAsia="zh-CN"/>
        </w:rPr>
        <w:t xml:space="preserve">, and have the following </w:t>
      </w:r>
      <w:r>
        <w:rPr>
          <w:rFonts w:eastAsia="宋体" w:hint="eastAsia"/>
          <w:lang w:val="en-US" w:eastAsia="zh-CN"/>
        </w:rPr>
        <w:t xml:space="preserve">observations and </w:t>
      </w:r>
      <w:r>
        <w:rPr>
          <w:rFonts w:eastAsia="宋体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4B2733" w:rsidRDefault="001E0728">
      <w:pPr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>Observation 1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To meet OCB regulation requirements, some occupancy signal can be considered to be multiplexed with the SS/PBCH transmission in frequency domain such as SS/PBCH blocks, or CS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I-RS.</w:t>
      </w:r>
    </w:p>
    <w:p w:rsidR="004B2733" w:rsidRDefault="001E0728">
      <w:pPr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From the respective of reducing the number of LBT and some NR-U dep</w:t>
      </w:r>
      <w:r>
        <w:rPr>
          <w:rFonts w:eastAsia="宋体"/>
          <w:bCs/>
          <w:i/>
          <w:iCs/>
          <w:lang w:val="en-US" w:eastAsia="zh-CN"/>
        </w:rPr>
        <w:t>l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o</w:t>
      </w:r>
      <w:r>
        <w:rPr>
          <w:rFonts w:eastAsia="宋体"/>
          <w:bCs/>
          <w:i/>
          <w:iCs/>
          <w:lang w:val="en-US" w:eastAsia="zh-CN"/>
        </w:rPr>
        <w:t>y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ment scenarios</w:t>
      </w:r>
      <w:r>
        <w:rPr>
          <w:rFonts w:eastAsia="宋体"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(e.g., SA) requirement, NR-U can support the SS/PBCH block transmission along with CORESET/RMSI in the time domain.</w:t>
      </w:r>
    </w:p>
    <w:p w:rsidR="004B2733" w:rsidRDefault="001E0728">
      <w:pPr>
        <w:jc w:val="both"/>
        <w:rPr>
          <w:rFonts w:eastAsia="宋体"/>
          <w:b/>
          <w:sz w:val="21"/>
          <w:szCs w:val="21"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lastRenderedPageBreak/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the g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aps between SS/PBCH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blocks are needed in order to perform LBT operation for beam switching, when different beams are used for multiple SS/PBCH blocks.</w:t>
      </w:r>
    </w:p>
    <w:p w:rsidR="004B2733" w:rsidRDefault="001E0728">
      <w:pPr>
        <w:spacing w:after="6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3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order to increase transmission opportunities, the following options can be considered</w:t>
      </w:r>
      <w:r>
        <w:rPr>
          <w:rFonts w:eastAsia="宋体" w:hint="eastAsia"/>
          <w:sz w:val="21"/>
          <w:szCs w:val="21"/>
          <w:lang w:eastAsia="zh-CN"/>
        </w:rPr>
        <w:t>:</w:t>
      </w:r>
    </w:p>
    <w:p w:rsidR="004B2733" w:rsidRDefault="001E0728">
      <w:pPr>
        <w:numPr>
          <w:ilvl w:val="0"/>
          <w:numId w:val="13"/>
        </w:numPr>
        <w:spacing w:after="60" w:line="260" w:lineRule="auto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>In</w:t>
      </w:r>
      <w:r>
        <w:rPr>
          <w:rFonts w:eastAsia="宋体"/>
          <w:i/>
          <w:iCs/>
          <w:lang w:val="en-US" w:eastAsia="zh-CN"/>
        </w:rPr>
        <w:t>troduc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e new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candidate SS/PBCH blocks at the blank time domain in the half frame window</w:t>
      </w:r>
      <w:r>
        <w:rPr>
          <w:rFonts w:eastAsia="宋体"/>
          <w:i/>
          <w:iCs/>
          <w:lang w:val="en-US" w:eastAsia="zh-CN"/>
        </w:rPr>
        <w:t>;</w:t>
      </w:r>
    </w:p>
    <w:p w:rsidR="004B2733" w:rsidRDefault="001E0728">
      <w:pPr>
        <w:numPr>
          <w:ilvl w:val="0"/>
          <w:numId w:val="13"/>
        </w:numPr>
        <w:spacing w:after="60" w:line="260" w:lineRule="auto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>Multiple candidate SS/PBCH block burst sets or multiple candidate half-frame windows within a period</w:t>
      </w:r>
      <w:r>
        <w:rPr>
          <w:rFonts w:eastAsia="宋体"/>
          <w:i/>
          <w:iCs/>
          <w:lang w:val="en-US" w:eastAsia="zh-CN"/>
        </w:rPr>
        <w:t>;</w:t>
      </w:r>
    </w:p>
    <w:p w:rsidR="004B2733" w:rsidRDefault="001E0728">
      <w:pPr>
        <w:numPr>
          <w:ilvl w:val="0"/>
          <w:numId w:val="13"/>
        </w:numPr>
        <w:spacing w:line="260" w:lineRule="auto"/>
        <w:jc w:val="both"/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>Combination of above options</w:t>
      </w:r>
      <w:r>
        <w:rPr>
          <w:rFonts w:eastAsia="宋体"/>
          <w:i/>
          <w:iCs/>
          <w:lang w:val="en-US" w:eastAsia="zh-CN"/>
        </w:rPr>
        <w:t>.</w:t>
      </w:r>
    </w:p>
    <w:p w:rsidR="004B2733" w:rsidRDefault="001E0728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4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SS/P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BCH block </w:t>
      </w:r>
      <w:r>
        <w:rPr>
          <w:rFonts w:eastAsia="宋体"/>
          <w:i/>
          <w:iCs/>
          <w:lang w:val="en-US" w:eastAsia="zh-CN"/>
        </w:rPr>
        <w:t>sh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ould access an NR-U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carrier with high priority, e.g., Cat 2 LBT with a fixed/ short sensing interval.</w:t>
      </w:r>
    </w:p>
    <w:p w:rsidR="004B2733" w:rsidRDefault="001E0728">
      <w:pPr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5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NR-U CSI-RS for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multiple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 functions should be carefully considered.</w:t>
      </w:r>
    </w:p>
    <w:p w:rsidR="004B2733" w:rsidRDefault="001E0728">
      <w:pPr>
        <w:jc w:val="both"/>
        <w:rPr>
          <w:rFonts w:eastAsia="宋体"/>
          <w:i/>
          <w:iCs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6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Initial signal discussed in LAA can be used as a baseline and reference for NR-U UE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 xml:space="preserve"> power saving, spatial reuse and transmission burst a</w:t>
      </w:r>
      <w:r>
        <w:rPr>
          <w:rFonts w:eastAsia="宋体"/>
          <w:bCs/>
          <w:i/>
          <w:iCs/>
          <w:lang w:val="en-US" w:eastAsia="zh-CN"/>
        </w:rPr>
        <w:t>c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quisition.</w:t>
      </w:r>
    </w:p>
    <w:p w:rsidR="004B2733" w:rsidRDefault="001E0728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7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The design of PDCCH structure and PDSCH mapping type in Rel-15 should be reused in NR-U. No further enhancements on PDCCH/PDSCH is needed except for PDCCH monitoring power saving.</w:t>
      </w:r>
    </w:p>
    <w:p w:rsidR="004B2733" w:rsidRDefault="001E0728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4B2733" w:rsidRDefault="001E072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SID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p w:rsidR="004B2733" w:rsidRDefault="001E072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181339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Revised SID on NR-based Access to Unlicensed Spectrum</w:t>
      </w:r>
      <w:r>
        <w:rPr>
          <w:rFonts w:eastAsia="宋体" w:hint="eastAsia"/>
          <w:lang w:val="en-US" w:eastAsia="zh-CN"/>
        </w:rPr>
        <w:t xml:space="preserve">, Qualcomm, June 11-14, </w:t>
      </w:r>
      <w:r>
        <w:rPr>
          <w:rFonts w:eastAsia="宋体"/>
          <w:lang w:val="en-US" w:eastAsia="zh-CN"/>
        </w:rPr>
        <w:t>201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, RAN</w:t>
      </w:r>
      <w:r>
        <w:rPr>
          <w:rFonts w:eastAsia="宋体" w:hint="eastAsia"/>
          <w:lang w:val="en-US" w:eastAsia="zh-CN"/>
        </w:rPr>
        <w:t>#80</w:t>
      </w:r>
    </w:p>
    <w:p w:rsidR="004B2733" w:rsidRDefault="001E072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Draft report of 3GPP TSG RAN WG1#93 v0.2.0, </w:t>
      </w:r>
      <w:r>
        <w:rPr>
          <w:rFonts w:eastAsia="宋体" w:hint="eastAsia"/>
          <w:lang w:val="en-US" w:eastAsia="zh-CN"/>
        </w:rPr>
        <w:t>Busan, South Korea, May 21</w:t>
      </w:r>
      <w:r>
        <w:rPr>
          <w:rFonts w:eastAsia="宋体" w:hint="eastAsia"/>
          <w:vertAlign w:val="superscript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- 25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 2018</w:t>
      </w:r>
    </w:p>
    <w:bookmarkEnd w:id="0"/>
    <w:p w:rsidR="004B2733" w:rsidRDefault="001E072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R1-1808321, Discussion on channel access mechanism for NR-U, ZTE</w:t>
      </w:r>
    </w:p>
    <w:p w:rsidR="004B2733" w:rsidRDefault="001E072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ETSI EN 301 893V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>.1, Harmonized European Standard, 5 GHz RLAN.</w:t>
      </w:r>
      <w:r>
        <w:rPr>
          <w:rFonts w:eastAsia="宋体" w:hint="eastAsia"/>
          <w:lang w:val="en-US" w:eastAsia="zh-CN"/>
        </w:rPr>
        <w:t xml:space="preserve"> 2017-05</w:t>
      </w:r>
    </w:p>
    <w:p w:rsidR="004B2733" w:rsidRDefault="004B2733"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4B2733" w:rsidRDefault="004B273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4B2733" w:rsidRDefault="004B273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4B2733">
      <w:footerReference w:type="even" r:id="rId18"/>
      <w:footerReference w:type="default" r:id="rId1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728" w:rsidRDefault="001E0728">
      <w:pPr>
        <w:spacing w:after="0" w:line="240" w:lineRule="auto"/>
      </w:pPr>
      <w:r>
        <w:separator/>
      </w:r>
    </w:p>
  </w:endnote>
  <w:endnote w:type="continuationSeparator" w:id="0">
    <w:p w:rsidR="001E0728" w:rsidRDefault="001E0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733" w:rsidRDefault="001E0728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  <w:rFonts w:eastAsia="宋体"/>
      </w:rPr>
      <w:instrText xml:space="preserve">PAGE  </w:instrText>
    </w:r>
    <w:r>
      <w:fldChar w:fldCharType="separate"/>
    </w:r>
    <w:r>
      <w:rPr>
        <w:rStyle w:val="PageNumber"/>
        <w:rFonts w:eastAsia="宋体"/>
      </w:rPr>
      <w:t>1</w:t>
    </w:r>
    <w:r>
      <w:fldChar w:fldCharType="end"/>
    </w:r>
  </w:p>
  <w:p w:rsidR="004B2733" w:rsidRDefault="004B2733">
    <w:pPr>
      <w:pStyle w:val="Footer"/>
    </w:pPr>
  </w:p>
  <w:p w:rsidR="004B2733" w:rsidRDefault="004B273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733" w:rsidRDefault="001E0728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677E77">
      <w:rPr>
        <w:rStyle w:val="PageNumber"/>
        <w:rFonts w:ascii="Times New Roman" w:hAnsi="Times New Roman"/>
        <w:b w:val="0"/>
        <w:i w:val="0"/>
        <w:noProof/>
      </w:rPr>
      <w:t>7</w:t>
    </w:r>
    <w:r>
      <w:rPr>
        <w:rFonts w:ascii="Times New Roman" w:hAnsi="Times New Roman"/>
        <w:b w:val="0"/>
        <w:i w:val="0"/>
      </w:rPr>
      <w:fldChar w:fldCharType="end"/>
    </w:r>
  </w:p>
  <w:p w:rsidR="004B2733" w:rsidRDefault="004B2733">
    <w:pPr>
      <w:pStyle w:val="Footer"/>
      <w:ind w:right="360"/>
    </w:pPr>
  </w:p>
  <w:p w:rsidR="004B2733" w:rsidRDefault="004B27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728" w:rsidRDefault="001E0728">
      <w:pPr>
        <w:spacing w:after="0" w:line="240" w:lineRule="auto"/>
      </w:pPr>
      <w:r>
        <w:separator/>
      </w:r>
    </w:p>
  </w:footnote>
  <w:footnote w:type="continuationSeparator" w:id="0">
    <w:p w:rsidR="001E0728" w:rsidRDefault="001E0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3F54A71"/>
    <w:multiLevelType w:val="multilevel"/>
    <w:tmpl w:val="43F54A7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78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39661D3"/>
    <w:multiLevelType w:val="multilevel"/>
    <w:tmpl w:val="539661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D5A2D"/>
    <w:multiLevelType w:val="singleLevel"/>
    <w:tmpl w:val="5A7D5A2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5B683BCF"/>
    <w:multiLevelType w:val="singleLevel"/>
    <w:tmpl w:val="5B683BC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3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  <w:num w:numId="11">
    <w:abstractNumId w:val="6"/>
  </w:num>
  <w:num w:numId="12">
    <w:abstractNumId w:val="10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EB4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8B8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A44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728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DF7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4CB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6C0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733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17FF5"/>
    <w:rsid w:val="005206F6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4FD8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CE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AB4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6CDE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446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E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77E77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309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37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64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006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523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37926"/>
    <w:rsid w:val="009402AC"/>
    <w:rsid w:val="00940686"/>
    <w:rsid w:val="009406F3"/>
    <w:rsid w:val="00940BEE"/>
    <w:rsid w:val="00940E73"/>
    <w:rsid w:val="00940EC2"/>
    <w:rsid w:val="00940F5D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446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5AD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6A7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4F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249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70B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6C3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9FC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6B7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EE6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783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11C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66F3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48C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0F6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2A8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379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D2358"/>
    <w:rsid w:val="010F6E0F"/>
    <w:rsid w:val="01120C0E"/>
    <w:rsid w:val="012A1556"/>
    <w:rsid w:val="01320FCD"/>
    <w:rsid w:val="016300B5"/>
    <w:rsid w:val="01662491"/>
    <w:rsid w:val="0171781D"/>
    <w:rsid w:val="019F2E30"/>
    <w:rsid w:val="01D7237F"/>
    <w:rsid w:val="01DE59FF"/>
    <w:rsid w:val="02616321"/>
    <w:rsid w:val="029A186A"/>
    <w:rsid w:val="03127134"/>
    <w:rsid w:val="031473C6"/>
    <w:rsid w:val="031E6C44"/>
    <w:rsid w:val="0329074E"/>
    <w:rsid w:val="03730DEA"/>
    <w:rsid w:val="03986F12"/>
    <w:rsid w:val="041D3FE2"/>
    <w:rsid w:val="04586E3A"/>
    <w:rsid w:val="04B14C72"/>
    <w:rsid w:val="04D933F6"/>
    <w:rsid w:val="050C02AC"/>
    <w:rsid w:val="05125E25"/>
    <w:rsid w:val="052A58BA"/>
    <w:rsid w:val="05F02835"/>
    <w:rsid w:val="063B1FB2"/>
    <w:rsid w:val="063D7168"/>
    <w:rsid w:val="06412B65"/>
    <w:rsid w:val="06780CAF"/>
    <w:rsid w:val="069076F3"/>
    <w:rsid w:val="06C1240E"/>
    <w:rsid w:val="070457CB"/>
    <w:rsid w:val="07542980"/>
    <w:rsid w:val="075A0001"/>
    <w:rsid w:val="077B4514"/>
    <w:rsid w:val="07877B44"/>
    <w:rsid w:val="080C3728"/>
    <w:rsid w:val="08102AC1"/>
    <w:rsid w:val="08420F01"/>
    <w:rsid w:val="08A75166"/>
    <w:rsid w:val="08C447CA"/>
    <w:rsid w:val="08EE0B0A"/>
    <w:rsid w:val="0918116F"/>
    <w:rsid w:val="091D787D"/>
    <w:rsid w:val="092B4C65"/>
    <w:rsid w:val="093817E0"/>
    <w:rsid w:val="097D51B6"/>
    <w:rsid w:val="09D01ECD"/>
    <w:rsid w:val="0A7953CC"/>
    <w:rsid w:val="0A857CD7"/>
    <w:rsid w:val="0AE27E4E"/>
    <w:rsid w:val="0BC51AD7"/>
    <w:rsid w:val="0BE54882"/>
    <w:rsid w:val="0BF61FC1"/>
    <w:rsid w:val="0C4F022E"/>
    <w:rsid w:val="0C6D5969"/>
    <w:rsid w:val="0C800CF5"/>
    <w:rsid w:val="0C8F5033"/>
    <w:rsid w:val="0CA06B2F"/>
    <w:rsid w:val="0CB1691B"/>
    <w:rsid w:val="0D335038"/>
    <w:rsid w:val="0D5A4DEB"/>
    <w:rsid w:val="0D89475B"/>
    <w:rsid w:val="0D9F3598"/>
    <w:rsid w:val="0DE53E77"/>
    <w:rsid w:val="0DE87E04"/>
    <w:rsid w:val="0E1C0F16"/>
    <w:rsid w:val="0E446EC5"/>
    <w:rsid w:val="0E8A5A8B"/>
    <w:rsid w:val="0EE6751E"/>
    <w:rsid w:val="0F456830"/>
    <w:rsid w:val="0F6013A0"/>
    <w:rsid w:val="0F67357C"/>
    <w:rsid w:val="0F8D0B4E"/>
    <w:rsid w:val="0FAC31FE"/>
    <w:rsid w:val="0FFE3BEB"/>
    <w:rsid w:val="10063E75"/>
    <w:rsid w:val="104E188D"/>
    <w:rsid w:val="10587490"/>
    <w:rsid w:val="10797EF4"/>
    <w:rsid w:val="109A5144"/>
    <w:rsid w:val="10A15189"/>
    <w:rsid w:val="10D00A21"/>
    <w:rsid w:val="11272C1C"/>
    <w:rsid w:val="11362E5F"/>
    <w:rsid w:val="1145739D"/>
    <w:rsid w:val="116327EE"/>
    <w:rsid w:val="116D7511"/>
    <w:rsid w:val="1193746D"/>
    <w:rsid w:val="11BB4CD7"/>
    <w:rsid w:val="11DA7C8F"/>
    <w:rsid w:val="11E075CC"/>
    <w:rsid w:val="11FD360D"/>
    <w:rsid w:val="12137E52"/>
    <w:rsid w:val="12172F68"/>
    <w:rsid w:val="12337389"/>
    <w:rsid w:val="123415F1"/>
    <w:rsid w:val="12516E7E"/>
    <w:rsid w:val="125C4B32"/>
    <w:rsid w:val="126573FA"/>
    <w:rsid w:val="12E95BFD"/>
    <w:rsid w:val="12EC6187"/>
    <w:rsid w:val="13060A3F"/>
    <w:rsid w:val="132564CF"/>
    <w:rsid w:val="132F4DB4"/>
    <w:rsid w:val="135B5EA0"/>
    <w:rsid w:val="13837C63"/>
    <w:rsid w:val="139E4B27"/>
    <w:rsid w:val="143F6AFF"/>
    <w:rsid w:val="14584883"/>
    <w:rsid w:val="1478410F"/>
    <w:rsid w:val="14FB3549"/>
    <w:rsid w:val="155E5500"/>
    <w:rsid w:val="15C95E48"/>
    <w:rsid w:val="15CF58E5"/>
    <w:rsid w:val="15F62CC1"/>
    <w:rsid w:val="165E5402"/>
    <w:rsid w:val="1667461C"/>
    <w:rsid w:val="167026DE"/>
    <w:rsid w:val="1670292F"/>
    <w:rsid w:val="16957217"/>
    <w:rsid w:val="16D43050"/>
    <w:rsid w:val="17295839"/>
    <w:rsid w:val="174B5EF9"/>
    <w:rsid w:val="177166A2"/>
    <w:rsid w:val="177247DC"/>
    <w:rsid w:val="1786367E"/>
    <w:rsid w:val="17872851"/>
    <w:rsid w:val="178E7DD2"/>
    <w:rsid w:val="17AE317B"/>
    <w:rsid w:val="17F17D7F"/>
    <w:rsid w:val="181E2C4E"/>
    <w:rsid w:val="182948CB"/>
    <w:rsid w:val="18321DF7"/>
    <w:rsid w:val="183D1003"/>
    <w:rsid w:val="184825A1"/>
    <w:rsid w:val="18695956"/>
    <w:rsid w:val="18B54546"/>
    <w:rsid w:val="19881702"/>
    <w:rsid w:val="19D230B6"/>
    <w:rsid w:val="19E466A5"/>
    <w:rsid w:val="19F56342"/>
    <w:rsid w:val="1A0261BE"/>
    <w:rsid w:val="1A665379"/>
    <w:rsid w:val="1A8E1E38"/>
    <w:rsid w:val="1B091337"/>
    <w:rsid w:val="1B0C26CA"/>
    <w:rsid w:val="1B6D6F8F"/>
    <w:rsid w:val="1BA0668A"/>
    <w:rsid w:val="1BC579E8"/>
    <w:rsid w:val="1BF867C3"/>
    <w:rsid w:val="1C2C54DC"/>
    <w:rsid w:val="1C3D50A3"/>
    <w:rsid w:val="1C5A6120"/>
    <w:rsid w:val="1C6149F5"/>
    <w:rsid w:val="1C9A5EA0"/>
    <w:rsid w:val="1C9D42D6"/>
    <w:rsid w:val="1CB34AFC"/>
    <w:rsid w:val="1CBA6EDE"/>
    <w:rsid w:val="1CBB7CFB"/>
    <w:rsid w:val="1CBF7BCD"/>
    <w:rsid w:val="1D255E26"/>
    <w:rsid w:val="1D2768F8"/>
    <w:rsid w:val="1D4D4EDE"/>
    <w:rsid w:val="1D7417DC"/>
    <w:rsid w:val="1DB47BA2"/>
    <w:rsid w:val="1DB84635"/>
    <w:rsid w:val="1DC11A56"/>
    <w:rsid w:val="1DD108D2"/>
    <w:rsid w:val="1DEA7E67"/>
    <w:rsid w:val="1E151102"/>
    <w:rsid w:val="1E1F6BAC"/>
    <w:rsid w:val="1E32288F"/>
    <w:rsid w:val="1E3C35CE"/>
    <w:rsid w:val="1E465599"/>
    <w:rsid w:val="1EBC2E6A"/>
    <w:rsid w:val="1EBF446A"/>
    <w:rsid w:val="1EE07F21"/>
    <w:rsid w:val="1F7F7D85"/>
    <w:rsid w:val="1FA27229"/>
    <w:rsid w:val="1FA77E30"/>
    <w:rsid w:val="1FBD3723"/>
    <w:rsid w:val="1FCE547D"/>
    <w:rsid w:val="1FD0287B"/>
    <w:rsid w:val="1FE777B7"/>
    <w:rsid w:val="20450A76"/>
    <w:rsid w:val="20455F9C"/>
    <w:rsid w:val="205662A4"/>
    <w:rsid w:val="20707DFA"/>
    <w:rsid w:val="20AF7C04"/>
    <w:rsid w:val="20B63EC6"/>
    <w:rsid w:val="20C60424"/>
    <w:rsid w:val="2109781C"/>
    <w:rsid w:val="21482FD2"/>
    <w:rsid w:val="21686848"/>
    <w:rsid w:val="218B5863"/>
    <w:rsid w:val="21A1056E"/>
    <w:rsid w:val="21CC6790"/>
    <w:rsid w:val="220F0C18"/>
    <w:rsid w:val="22B753BA"/>
    <w:rsid w:val="22C76155"/>
    <w:rsid w:val="23431B2D"/>
    <w:rsid w:val="23480F73"/>
    <w:rsid w:val="23556719"/>
    <w:rsid w:val="23A071DE"/>
    <w:rsid w:val="23B700B7"/>
    <w:rsid w:val="23CD5050"/>
    <w:rsid w:val="23DF5E36"/>
    <w:rsid w:val="241D4BAB"/>
    <w:rsid w:val="24284A66"/>
    <w:rsid w:val="2445694D"/>
    <w:rsid w:val="249333DB"/>
    <w:rsid w:val="24D66B6D"/>
    <w:rsid w:val="24FA07DE"/>
    <w:rsid w:val="24FE38AC"/>
    <w:rsid w:val="25006528"/>
    <w:rsid w:val="254B11E9"/>
    <w:rsid w:val="255514A1"/>
    <w:rsid w:val="258B7A1A"/>
    <w:rsid w:val="25A534F7"/>
    <w:rsid w:val="25CD617B"/>
    <w:rsid w:val="25DE79F2"/>
    <w:rsid w:val="25EF16D6"/>
    <w:rsid w:val="26180793"/>
    <w:rsid w:val="265E0639"/>
    <w:rsid w:val="26796197"/>
    <w:rsid w:val="267D4A70"/>
    <w:rsid w:val="26BF09E3"/>
    <w:rsid w:val="26E3183D"/>
    <w:rsid w:val="26ED2E1C"/>
    <w:rsid w:val="26EF6891"/>
    <w:rsid w:val="26F31F2E"/>
    <w:rsid w:val="2786663F"/>
    <w:rsid w:val="27A56FE7"/>
    <w:rsid w:val="27CF5F28"/>
    <w:rsid w:val="283E14E7"/>
    <w:rsid w:val="285D13A9"/>
    <w:rsid w:val="28853ADB"/>
    <w:rsid w:val="28D41273"/>
    <w:rsid w:val="28D77320"/>
    <w:rsid w:val="2904641B"/>
    <w:rsid w:val="290C442F"/>
    <w:rsid w:val="29250B4C"/>
    <w:rsid w:val="29805CC9"/>
    <w:rsid w:val="299F2A32"/>
    <w:rsid w:val="29A86CB8"/>
    <w:rsid w:val="29DC650B"/>
    <w:rsid w:val="29F87C44"/>
    <w:rsid w:val="2A1F404C"/>
    <w:rsid w:val="2A541FD5"/>
    <w:rsid w:val="2A5916B9"/>
    <w:rsid w:val="2A8A7AF6"/>
    <w:rsid w:val="2AA20801"/>
    <w:rsid w:val="2AB82E8F"/>
    <w:rsid w:val="2AB87157"/>
    <w:rsid w:val="2AE278D5"/>
    <w:rsid w:val="2AE61418"/>
    <w:rsid w:val="2AF6268F"/>
    <w:rsid w:val="2B181E15"/>
    <w:rsid w:val="2B2E0352"/>
    <w:rsid w:val="2B4C5204"/>
    <w:rsid w:val="2B5F3006"/>
    <w:rsid w:val="2BB11BA3"/>
    <w:rsid w:val="2BC661C6"/>
    <w:rsid w:val="2C09174D"/>
    <w:rsid w:val="2C4220D7"/>
    <w:rsid w:val="2CEA0468"/>
    <w:rsid w:val="2D1B51CC"/>
    <w:rsid w:val="2D291565"/>
    <w:rsid w:val="2D781D43"/>
    <w:rsid w:val="2E056DE4"/>
    <w:rsid w:val="2EA847BF"/>
    <w:rsid w:val="2EB5032D"/>
    <w:rsid w:val="2F6126A2"/>
    <w:rsid w:val="2FB6309F"/>
    <w:rsid w:val="2FBE084C"/>
    <w:rsid w:val="300635B2"/>
    <w:rsid w:val="3042487F"/>
    <w:rsid w:val="30B664E5"/>
    <w:rsid w:val="30BF08F8"/>
    <w:rsid w:val="30DC1020"/>
    <w:rsid w:val="30EA6915"/>
    <w:rsid w:val="30F15BD9"/>
    <w:rsid w:val="30FD2CDB"/>
    <w:rsid w:val="31181A6D"/>
    <w:rsid w:val="312852AD"/>
    <w:rsid w:val="313C7BC6"/>
    <w:rsid w:val="31436DD2"/>
    <w:rsid w:val="316A71F6"/>
    <w:rsid w:val="31942C78"/>
    <w:rsid w:val="31A214F3"/>
    <w:rsid w:val="31BB3D45"/>
    <w:rsid w:val="31C7471D"/>
    <w:rsid w:val="31ED5832"/>
    <w:rsid w:val="32270B61"/>
    <w:rsid w:val="3273791F"/>
    <w:rsid w:val="32E4742E"/>
    <w:rsid w:val="33236153"/>
    <w:rsid w:val="33256A54"/>
    <w:rsid w:val="33753B52"/>
    <w:rsid w:val="33FF4080"/>
    <w:rsid w:val="340D3567"/>
    <w:rsid w:val="34461AE9"/>
    <w:rsid w:val="34547B12"/>
    <w:rsid w:val="345C5226"/>
    <w:rsid w:val="34836BCE"/>
    <w:rsid w:val="349B7B45"/>
    <w:rsid w:val="34A01296"/>
    <w:rsid w:val="34AD636D"/>
    <w:rsid w:val="34AE7E88"/>
    <w:rsid w:val="34D35AEF"/>
    <w:rsid w:val="34D37972"/>
    <w:rsid w:val="34DA4672"/>
    <w:rsid w:val="35194A87"/>
    <w:rsid w:val="35533710"/>
    <w:rsid w:val="35B06E99"/>
    <w:rsid w:val="35B40B4F"/>
    <w:rsid w:val="35B64FD1"/>
    <w:rsid w:val="35F43894"/>
    <w:rsid w:val="362C2535"/>
    <w:rsid w:val="362F46F3"/>
    <w:rsid w:val="36520761"/>
    <w:rsid w:val="365B22D1"/>
    <w:rsid w:val="36641C18"/>
    <w:rsid w:val="36963065"/>
    <w:rsid w:val="36BA5016"/>
    <w:rsid w:val="37036FE3"/>
    <w:rsid w:val="37347819"/>
    <w:rsid w:val="373569A8"/>
    <w:rsid w:val="373A2E6A"/>
    <w:rsid w:val="379151F3"/>
    <w:rsid w:val="37CD79C5"/>
    <w:rsid w:val="380B3955"/>
    <w:rsid w:val="384E6F01"/>
    <w:rsid w:val="386E43D9"/>
    <w:rsid w:val="38880168"/>
    <w:rsid w:val="38B213D3"/>
    <w:rsid w:val="38D233FA"/>
    <w:rsid w:val="38D43BCE"/>
    <w:rsid w:val="38EC5044"/>
    <w:rsid w:val="3908323F"/>
    <w:rsid w:val="398806AD"/>
    <w:rsid w:val="39AE4056"/>
    <w:rsid w:val="39C32B22"/>
    <w:rsid w:val="39C362FF"/>
    <w:rsid w:val="39E16C7B"/>
    <w:rsid w:val="39EF1E10"/>
    <w:rsid w:val="3A1530F4"/>
    <w:rsid w:val="3A282FA2"/>
    <w:rsid w:val="3A3838BE"/>
    <w:rsid w:val="3A8A0C83"/>
    <w:rsid w:val="3B2A58CC"/>
    <w:rsid w:val="3B5C42D5"/>
    <w:rsid w:val="3B6B49ED"/>
    <w:rsid w:val="3B7B29BE"/>
    <w:rsid w:val="3BB723BA"/>
    <w:rsid w:val="3BF849DD"/>
    <w:rsid w:val="3C0B7B65"/>
    <w:rsid w:val="3C2E346D"/>
    <w:rsid w:val="3C432F0B"/>
    <w:rsid w:val="3C6541EF"/>
    <w:rsid w:val="3D0B6B4F"/>
    <w:rsid w:val="3D504D37"/>
    <w:rsid w:val="3D7D68E8"/>
    <w:rsid w:val="3DF43ED5"/>
    <w:rsid w:val="3E12574F"/>
    <w:rsid w:val="3E620DC8"/>
    <w:rsid w:val="3E9111B3"/>
    <w:rsid w:val="3EAB08D1"/>
    <w:rsid w:val="3EDE01B4"/>
    <w:rsid w:val="3F0948B6"/>
    <w:rsid w:val="3F284687"/>
    <w:rsid w:val="3F475658"/>
    <w:rsid w:val="3F48598F"/>
    <w:rsid w:val="3F7B467C"/>
    <w:rsid w:val="3F8534F2"/>
    <w:rsid w:val="3F8D6CDE"/>
    <w:rsid w:val="3FA5445E"/>
    <w:rsid w:val="40597B3B"/>
    <w:rsid w:val="407C20FE"/>
    <w:rsid w:val="40C342C2"/>
    <w:rsid w:val="40D00C0D"/>
    <w:rsid w:val="41180D6F"/>
    <w:rsid w:val="418271DC"/>
    <w:rsid w:val="41B9348F"/>
    <w:rsid w:val="42071299"/>
    <w:rsid w:val="42663A0F"/>
    <w:rsid w:val="42893219"/>
    <w:rsid w:val="429556BC"/>
    <w:rsid w:val="429E05A2"/>
    <w:rsid w:val="42BF4360"/>
    <w:rsid w:val="434E3D91"/>
    <w:rsid w:val="4371518A"/>
    <w:rsid w:val="43745761"/>
    <w:rsid w:val="43825471"/>
    <w:rsid w:val="43D35209"/>
    <w:rsid w:val="43E61D64"/>
    <w:rsid w:val="43E84EF1"/>
    <w:rsid w:val="43F667ED"/>
    <w:rsid w:val="443840D5"/>
    <w:rsid w:val="4445734B"/>
    <w:rsid w:val="44704880"/>
    <w:rsid w:val="447D6C1D"/>
    <w:rsid w:val="44914F23"/>
    <w:rsid w:val="449E6392"/>
    <w:rsid w:val="44BF49F0"/>
    <w:rsid w:val="44DF5888"/>
    <w:rsid w:val="44E20E25"/>
    <w:rsid w:val="4505615F"/>
    <w:rsid w:val="45251B91"/>
    <w:rsid w:val="45D212DD"/>
    <w:rsid w:val="45FD1EC4"/>
    <w:rsid w:val="4637607B"/>
    <w:rsid w:val="464C33C7"/>
    <w:rsid w:val="465E323F"/>
    <w:rsid w:val="466C646E"/>
    <w:rsid w:val="46870BD8"/>
    <w:rsid w:val="46E2491C"/>
    <w:rsid w:val="47487071"/>
    <w:rsid w:val="47690EAD"/>
    <w:rsid w:val="479B7CFE"/>
    <w:rsid w:val="47C014F5"/>
    <w:rsid w:val="47DC4C30"/>
    <w:rsid w:val="48444E3C"/>
    <w:rsid w:val="4845355B"/>
    <w:rsid w:val="48586A3A"/>
    <w:rsid w:val="489316E7"/>
    <w:rsid w:val="48A535C5"/>
    <w:rsid w:val="48B65743"/>
    <w:rsid w:val="48BD07E6"/>
    <w:rsid w:val="48E91197"/>
    <w:rsid w:val="48ED21B1"/>
    <w:rsid w:val="48F33068"/>
    <w:rsid w:val="49163330"/>
    <w:rsid w:val="491C53A4"/>
    <w:rsid w:val="49441DC3"/>
    <w:rsid w:val="49774460"/>
    <w:rsid w:val="497778A9"/>
    <w:rsid w:val="49AD6CEA"/>
    <w:rsid w:val="49D9493E"/>
    <w:rsid w:val="49E85572"/>
    <w:rsid w:val="49ED476E"/>
    <w:rsid w:val="49F50CB4"/>
    <w:rsid w:val="49FC39E1"/>
    <w:rsid w:val="49FE76B2"/>
    <w:rsid w:val="4A0E26B7"/>
    <w:rsid w:val="4A9B6CC9"/>
    <w:rsid w:val="4AA20292"/>
    <w:rsid w:val="4AC1656E"/>
    <w:rsid w:val="4AC9104E"/>
    <w:rsid w:val="4B025CB8"/>
    <w:rsid w:val="4B135B94"/>
    <w:rsid w:val="4B330DED"/>
    <w:rsid w:val="4B395511"/>
    <w:rsid w:val="4B5E1500"/>
    <w:rsid w:val="4B9D4E62"/>
    <w:rsid w:val="4BA850A2"/>
    <w:rsid w:val="4BB14882"/>
    <w:rsid w:val="4BB35EFD"/>
    <w:rsid w:val="4BC53AB8"/>
    <w:rsid w:val="4BCD4308"/>
    <w:rsid w:val="4BEB0FE1"/>
    <w:rsid w:val="4BFF7C22"/>
    <w:rsid w:val="4C7E2D80"/>
    <w:rsid w:val="4C96348A"/>
    <w:rsid w:val="4CBA6BE7"/>
    <w:rsid w:val="4CBB7B02"/>
    <w:rsid w:val="4CD00124"/>
    <w:rsid w:val="4CEC1471"/>
    <w:rsid w:val="4CF679F5"/>
    <w:rsid w:val="4DB32692"/>
    <w:rsid w:val="4DBB7E42"/>
    <w:rsid w:val="4E123A61"/>
    <w:rsid w:val="4E283BF9"/>
    <w:rsid w:val="4E816476"/>
    <w:rsid w:val="4F08177C"/>
    <w:rsid w:val="4F200763"/>
    <w:rsid w:val="4F61122F"/>
    <w:rsid w:val="4F7702EF"/>
    <w:rsid w:val="4F997389"/>
    <w:rsid w:val="4F9E38F1"/>
    <w:rsid w:val="500013B1"/>
    <w:rsid w:val="50402AE5"/>
    <w:rsid w:val="506B150D"/>
    <w:rsid w:val="508F6D9B"/>
    <w:rsid w:val="50963945"/>
    <w:rsid w:val="50B4341C"/>
    <w:rsid w:val="50C073CC"/>
    <w:rsid w:val="50C74476"/>
    <w:rsid w:val="50F96C4E"/>
    <w:rsid w:val="51A63BD5"/>
    <w:rsid w:val="51B05BD7"/>
    <w:rsid w:val="51D904AC"/>
    <w:rsid w:val="52007BFE"/>
    <w:rsid w:val="520B25EE"/>
    <w:rsid w:val="521D49F1"/>
    <w:rsid w:val="522C3822"/>
    <w:rsid w:val="523400A0"/>
    <w:rsid w:val="523503EF"/>
    <w:rsid w:val="526B2DEC"/>
    <w:rsid w:val="526C33B9"/>
    <w:rsid w:val="52AE312E"/>
    <w:rsid w:val="52B33948"/>
    <w:rsid w:val="52BE565A"/>
    <w:rsid w:val="52D65C92"/>
    <w:rsid w:val="52E91BCE"/>
    <w:rsid w:val="53026C57"/>
    <w:rsid w:val="53C87A2C"/>
    <w:rsid w:val="53E8282F"/>
    <w:rsid w:val="53FE62CD"/>
    <w:rsid w:val="540F05AA"/>
    <w:rsid w:val="5412064F"/>
    <w:rsid w:val="5421495A"/>
    <w:rsid w:val="544A7BF5"/>
    <w:rsid w:val="54594B00"/>
    <w:rsid w:val="545F22B3"/>
    <w:rsid w:val="54720E6C"/>
    <w:rsid w:val="54921106"/>
    <w:rsid w:val="54B93795"/>
    <w:rsid w:val="54CF284E"/>
    <w:rsid w:val="54DF2057"/>
    <w:rsid w:val="553375AE"/>
    <w:rsid w:val="554376C8"/>
    <w:rsid w:val="554F0D7B"/>
    <w:rsid w:val="55676FA4"/>
    <w:rsid w:val="55B62F64"/>
    <w:rsid w:val="55BD4F0C"/>
    <w:rsid w:val="55D02AD6"/>
    <w:rsid w:val="55EB3A9F"/>
    <w:rsid w:val="56157BE1"/>
    <w:rsid w:val="56781174"/>
    <w:rsid w:val="56917696"/>
    <w:rsid w:val="57023C45"/>
    <w:rsid w:val="5720074D"/>
    <w:rsid w:val="572300F2"/>
    <w:rsid w:val="57756EB4"/>
    <w:rsid w:val="57B738E0"/>
    <w:rsid w:val="57EA183C"/>
    <w:rsid w:val="58AF5181"/>
    <w:rsid w:val="58C94687"/>
    <w:rsid w:val="59181B19"/>
    <w:rsid w:val="59452151"/>
    <w:rsid w:val="596326A9"/>
    <w:rsid w:val="596400E7"/>
    <w:rsid w:val="59812E2C"/>
    <w:rsid w:val="59993806"/>
    <w:rsid w:val="59C908F0"/>
    <w:rsid w:val="59E86016"/>
    <w:rsid w:val="59EF1F13"/>
    <w:rsid w:val="59F01F19"/>
    <w:rsid w:val="5A1560F8"/>
    <w:rsid w:val="5A262260"/>
    <w:rsid w:val="5A370150"/>
    <w:rsid w:val="5A4F57C5"/>
    <w:rsid w:val="5AAD3281"/>
    <w:rsid w:val="5AB32455"/>
    <w:rsid w:val="5AC247F5"/>
    <w:rsid w:val="5AC86500"/>
    <w:rsid w:val="5ACF6871"/>
    <w:rsid w:val="5AF64A3F"/>
    <w:rsid w:val="5B242A4F"/>
    <w:rsid w:val="5BA85095"/>
    <w:rsid w:val="5BBB61E1"/>
    <w:rsid w:val="5BBD6932"/>
    <w:rsid w:val="5BD151EF"/>
    <w:rsid w:val="5C5566E7"/>
    <w:rsid w:val="5C5750BA"/>
    <w:rsid w:val="5C7D4D78"/>
    <w:rsid w:val="5C812DA3"/>
    <w:rsid w:val="5C9E6620"/>
    <w:rsid w:val="5CF22A1A"/>
    <w:rsid w:val="5D867492"/>
    <w:rsid w:val="5DAF334A"/>
    <w:rsid w:val="5E087EA2"/>
    <w:rsid w:val="5EA5785A"/>
    <w:rsid w:val="5ED358B4"/>
    <w:rsid w:val="5EF6627A"/>
    <w:rsid w:val="5F037BD6"/>
    <w:rsid w:val="5F065C4C"/>
    <w:rsid w:val="5F3336A5"/>
    <w:rsid w:val="5F3460CD"/>
    <w:rsid w:val="5F654B44"/>
    <w:rsid w:val="5F881135"/>
    <w:rsid w:val="5F8948B1"/>
    <w:rsid w:val="5F8E7C87"/>
    <w:rsid w:val="5F9D02B3"/>
    <w:rsid w:val="5FBB2206"/>
    <w:rsid w:val="5FC26EAD"/>
    <w:rsid w:val="60204443"/>
    <w:rsid w:val="602A71DA"/>
    <w:rsid w:val="60575D03"/>
    <w:rsid w:val="60C761EE"/>
    <w:rsid w:val="60EC36F3"/>
    <w:rsid w:val="61023718"/>
    <w:rsid w:val="61040012"/>
    <w:rsid w:val="611275D3"/>
    <w:rsid w:val="6117553F"/>
    <w:rsid w:val="612F1893"/>
    <w:rsid w:val="616F65D9"/>
    <w:rsid w:val="61774CC7"/>
    <w:rsid w:val="6194428A"/>
    <w:rsid w:val="61D10197"/>
    <w:rsid w:val="6228522F"/>
    <w:rsid w:val="62297593"/>
    <w:rsid w:val="622B5454"/>
    <w:rsid w:val="627A039B"/>
    <w:rsid w:val="62A86E8C"/>
    <w:rsid w:val="63257DB5"/>
    <w:rsid w:val="6356637E"/>
    <w:rsid w:val="63B46297"/>
    <w:rsid w:val="63B638DF"/>
    <w:rsid w:val="63C92AD9"/>
    <w:rsid w:val="63C957B1"/>
    <w:rsid w:val="63E452F2"/>
    <w:rsid w:val="641526D4"/>
    <w:rsid w:val="6422650A"/>
    <w:rsid w:val="645851A4"/>
    <w:rsid w:val="64835F2F"/>
    <w:rsid w:val="648E0F1D"/>
    <w:rsid w:val="64BB096D"/>
    <w:rsid w:val="64D80423"/>
    <w:rsid w:val="651725E2"/>
    <w:rsid w:val="653D761C"/>
    <w:rsid w:val="65713082"/>
    <w:rsid w:val="658557B5"/>
    <w:rsid w:val="65FE6126"/>
    <w:rsid w:val="660A3CD1"/>
    <w:rsid w:val="66167CCD"/>
    <w:rsid w:val="66196874"/>
    <w:rsid w:val="66221523"/>
    <w:rsid w:val="664114DB"/>
    <w:rsid w:val="667E00F5"/>
    <w:rsid w:val="668652F7"/>
    <w:rsid w:val="66900CCE"/>
    <w:rsid w:val="669F1FCC"/>
    <w:rsid w:val="66A512FE"/>
    <w:rsid w:val="66B37847"/>
    <w:rsid w:val="66D45137"/>
    <w:rsid w:val="671A2423"/>
    <w:rsid w:val="67560E79"/>
    <w:rsid w:val="67585874"/>
    <w:rsid w:val="675B57F5"/>
    <w:rsid w:val="676207E2"/>
    <w:rsid w:val="67993ACA"/>
    <w:rsid w:val="67A31D8E"/>
    <w:rsid w:val="67B04172"/>
    <w:rsid w:val="67D2542E"/>
    <w:rsid w:val="67DA7677"/>
    <w:rsid w:val="67E2130D"/>
    <w:rsid w:val="680A5B74"/>
    <w:rsid w:val="682F09FB"/>
    <w:rsid w:val="68323F35"/>
    <w:rsid w:val="68363F74"/>
    <w:rsid w:val="684B46A6"/>
    <w:rsid w:val="68A4339A"/>
    <w:rsid w:val="68EC0657"/>
    <w:rsid w:val="695A62A9"/>
    <w:rsid w:val="69B339A6"/>
    <w:rsid w:val="6A0263F9"/>
    <w:rsid w:val="6A2F4319"/>
    <w:rsid w:val="6A3067CD"/>
    <w:rsid w:val="6A5B251B"/>
    <w:rsid w:val="6A6E1B96"/>
    <w:rsid w:val="6AC93F8C"/>
    <w:rsid w:val="6ACF3867"/>
    <w:rsid w:val="6AE811DE"/>
    <w:rsid w:val="6B136D2A"/>
    <w:rsid w:val="6B3D4A1D"/>
    <w:rsid w:val="6B7226BD"/>
    <w:rsid w:val="6BB5144B"/>
    <w:rsid w:val="6BBC52D4"/>
    <w:rsid w:val="6BE115FE"/>
    <w:rsid w:val="6C54593C"/>
    <w:rsid w:val="6C6A7B10"/>
    <w:rsid w:val="6CB42DAF"/>
    <w:rsid w:val="6CC22A75"/>
    <w:rsid w:val="6CD108C7"/>
    <w:rsid w:val="6CD3550E"/>
    <w:rsid w:val="6CDF2901"/>
    <w:rsid w:val="6CEB51F7"/>
    <w:rsid w:val="6D355FBD"/>
    <w:rsid w:val="6D4444CC"/>
    <w:rsid w:val="6D8E0C09"/>
    <w:rsid w:val="6DD36A45"/>
    <w:rsid w:val="6E02368D"/>
    <w:rsid w:val="6E4E3407"/>
    <w:rsid w:val="6E9C1600"/>
    <w:rsid w:val="6EB14B9B"/>
    <w:rsid w:val="6EC67286"/>
    <w:rsid w:val="6ED44793"/>
    <w:rsid w:val="6EF60047"/>
    <w:rsid w:val="6EFB556C"/>
    <w:rsid w:val="6F365528"/>
    <w:rsid w:val="6F37467A"/>
    <w:rsid w:val="6F6571D2"/>
    <w:rsid w:val="6F66712A"/>
    <w:rsid w:val="6F6E7020"/>
    <w:rsid w:val="70105602"/>
    <w:rsid w:val="70134DF9"/>
    <w:rsid w:val="703538D0"/>
    <w:rsid w:val="705642DC"/>
    <w:rsid w:val="709C706E"/>
    <w:rsid w:val="70D8484D"/>
    <w:rsid w:val="70EE1051"/>
    <w:rsid w:val="712F05D2"/>
    <w:rsid w:val="713818EB"/>
    <w:rsid w:val="71942565"/>
    <w:rsid w:val="71F145D8"/>
    <w:rsid w:val="72244178"/>
    <w:rsid w:val="72770656"/>
    <w:rsid w:val="728576DC"/>
    <w:rsid w:val="72AF7717"/>
    <w:rsid w:val="72C606B1"/>
    <w:rsid w:val="7310392F"/>
    <w:rsid w:val="731468B0"/>
    <w:rsid w:val="73233DB5"/>
    <w:rsid w:val="73434A80"/>
    <w:rsid w:val="73493F99"/>
    <w:rsid w:val="735B2304"/>
    <w:rsid w:val="735B6B2C"/>
    <w:rsid w:val="736B223C"/>
    <w:rsid w:val="7377021D"/>
    <w:rsid w:val="737D693A"/>
    <w:rsid w:val="73992BDC"/>
    <w:rsid w:val="73DD3136"/>
    <w:rsid w:val="74215AEF"/>
    <w:rsid w:val="74242B43"/>
    <w:rsid w:val="74701101"/>
    <w:rsid w:val="74702B32"/>
    <w:rsid w:val="74885903"/>
    <w:rsid w:val="7497437F"/>
    <w:rsid w:val="74A95205"/>
    <w:rsid w:val="74FD41BD"/>
    <w:rsid w:val="75311EDA"/>
    <w:rsid w:val="75613F82"/>
    <w:rsid w:val="75737E9D"/>
    <w:rsid w:val="75F51475"/>
    <w:rsid w:val="76113EF2"/>
    <w:rsid w:val="76203E51"/>
    <w:rsid w:val="76364B89"/>
    <w:rsid w:val="764F411F"/>
    <w:rsid w:val="76A12CD1"/>
    <w:rsid w:val="76AA085A"/>
    <w:rsid w:val="76E97048"/>
    <w:rsid w:val="76FD3A81"/>
    <w:rsid w:val="77093BCD"/>
    <w:rsid w:val="772B0E02"/>
    <w:rsid w:val="777C4CA7"/>
    <w:rsid w:val="778F0CF5"/>
    <w:rsid w:val="779F41B0"/>
    <w:rsid w:val="77C462C0"/>
    <w:rsid w:val="77C82C1D"/>
    <w:rsid w:val="77D04EB7"/>
    <w:rsid w:val="788526FC"/>
    <w:rsid w:val="78893A99"/>
    <w:rsid w:val="78CA2FBF"/>
    <w:rsid w:val="78CC62F5"/>
    <w:rsid w:val="78F05437"/>
    <w:rsid w:val="78F060F1"/>
    <w:rsid w:val="78FC39C6"/>
    <w:rsid w:val="79026EF9"/>
    <w:rsid w:val="792B4C08"/>
    <w:rsid w:val="7930480C"/>
    <w:rsid w:val="794F7E8E"/>
    <w:rsid w:val="79C45973"/>
    <w:rsid w:val="79EA54FE"/>
    <w:rsid w:val="7A260891"/>
    <w:rsid w:val="7AA04FF2"/>
    <w:rsid w:val="7AC875BC"/>
    <w:rsid w:val="7AFC08CE"/>
    <w:rsid w:val="7B3E74BE"/>
    <w:rsid w:val="7BC47370"/>
    <w:rsid w:val="7BE70D0A"/>
    <w:rsid w:val="7C550E76"/>
    <w:rsid w:val="7CA7500D"/>
    <w:rsid w:val="7CCA25BE"/>
    <w:rsid w:val="7D7F5F10"/>
    <w:rsid w:val="7D810AC9"/>
    <w:rsid w:val="7E187777"/>
    <w:rsid w:val="7E8C5D3C"/>
    <w:rsid w:val="7E8E5047"/>
    <w:rsid w:val="7EA51C88"/>
    <w:rsid w:val="7EBA234D"/>
    <w:rsid w:val="7EE7768F"/>
    <w:rsid w:val="7EFC1A7B"/>
    <w:rsid w:val="7F314EF0"/>
    <w:rsid w:val="7F342D35"/>
    <w:rsid w:val="7F6B7839"/>
    <w:rsid w:val="7FB726D0"/>
    <w:rsid w:val="7FE5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DDBF54-BA2F-4EDC-B3C1-C12CB14E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 w:cs="Times New Roman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rFonts w:ascii="Times New Roman" w:eastAsia="Times New Roman" w:hAnsi="Times New Roman" w:cs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 w:cs="Times New Roman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16767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ZTE</cp:lastModifiedBy>
  <cp:revision>2</cp:revision>
  <cp:lastPrinted>2018-02-16T23:29:00Z</cp:lastPrinted>
  <dcterms:created xsi:type="dcterms:W3CDTF">2018-08-10T23:38:00Z</dcterms:created>
  <dcterms:modified xsi:type="dcterms:W3CDTF">2018-08-10T23:38:00Z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